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975B07" w14:paraId="04473DCA" w14:textId="77777777" w:rsidTr="62B73EE3">
        <w:tc>
          <w:tcPr>
            <w:tcW w:w="2438" w:type="dxa"/>
            <w:shd w:val="clear" w:color="auto" w:fill="auto"/>
          </w:tcPr>
          <w:p w14:paraId="334BE3F6"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14:paraId="017518DB" w14:textId="0DDDF891" w:rsidR="00F445B1" w:rsidRPr="00F95BC9" w:rsidRDefault="00B263C9" w:rsidP="004A6D2F">
            <w:pPr>
              <w:rPr>
                <w:rStyle w:val="Firstpagetablebold"/>
              </w:rPr>
            </w:pPr>
            <w:r>
              <w:rPr>
                <w:rStyle w:val="Firstpagetablebold"/>
              </w:rPr>
              <w:t>Cabinet</w:t>
            </w:r>
          </w:p>
        </w:tc>
      </w:tr>
      <w:tr w:rsidR="00CE544A" w:rsidRPr="00975B07" w14:paraId="705FA4FB" w14:textId="77777777" w:rsidTr="62B73EE3">
        <w:tc>
          <w:tcPr>
            <w:tcW w:w="2438" w:type="dxa"/>
            <w:shd w:val="clear" w:color="auto" w:fill="auto"/>
          </w:tcPr>
          <w:p w14:paraId="3C1A12A6"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14:paraId="4F4A4C58" w14:textId="2CD0D76B" w:rsidR="00F445B1" w:rsidRPr="009E30E2" w:rsidRDefault="00B263C9" w:rsidP="62B73EE3">
            <w:pPr>
              <w:rPr>
                <w:b/>
                <w:bCs/>
                <w:color w:val="auto"/>
              </w:rPr>
            </w:pPr>
            <w:r>
              <w:rPr>
                <w:rStyle w:val="Firstpagetablebold"/>
                <w:rFonts w:cs="Arial"/>
                <w:b w:val="0"/>
                <w:color w:val="auto"/>
              </w:rPr>
              <w:t>1</w:t>
            </w:r>
            <w:r w:rsidR="00C10C24">
              <w:rPr>
                <w:rStyle w:val="Firstpagetablebold"/>
                <w:rFonts w:cs="Arial"/>
                <w:b w:val="0"/>
                <w:color w:val="auto"/>
              </w:rPr>
              <w:t>9</w:t>
            </w:r>
            <w:r w:rsidRPr="00B263C9">
              <w:rPr>
                <w:rStyle w:val="Firstpagetablebold"/>
                <w:rFonts w:cs="Arial"/>
                <w:b w:val="0"/>
                <w:color w:val="auto"/>
                <w:vertAlign w:val="superscript"/>
              </w:rPr>
              <w:t>th</w:t>
            </w:r>
            <w:r>
              <w:rPr>
                <w:rStyle w:val="Firstpagetablebold"/>
                <w:rFonts w:cs="Arial"/>
                <w:b w:val="0"/>
                <w:color w:val="auto"/>
              </w:rPr>
              <w:t xml:space="preserve"> November 2025</w:t>
            </w:r>
          </w:p>
        </w:tc>
      </w:tr>
      <w:tr w:rsidR="00CE544A" w:rsidRPr="00975B07" w14:paraId="7AED9E48" w14:textId="77777777" w:rsidTr="62B73EE3">
        <w:tc>
          <w:tcPr>
            <w:tcW w:w="2438" w:type="dxa"/>
            <w:shd w:val="clear" w:color="auto" w:fill="auto"/>
          </w:tcPr>
          <w:p w14:paraId="2049294C"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shd w:val="clear" w:color="auto" w:fill="auto"/>
          </w:tcPr>
          <w:p w14:paraId="31C202AE" w14:textId="4C476A46" w:rsidR="00F445B1" w:rsidRPr="009E30E2" w:rsidRDefault="00924F85" w:rsidP="004A6D2F">
            <w:pPr>
              <w:rPr>
                <w:rStyle w:val="Firstpagetablebold"/>
                <w:color w:val="auto"/>
              </w:rPr>
            </w:pPr>
            <w:r>
              <w:rPr>
                <w:rStyle w:val="Firstpagetablebold"/>
                <w:rFonts w:cs="Arial"/>
                <w:b w:val="0"/>
                <w:color w:val="auto"/>
              </w:rPr>
              <w:t>Deputy Chief Executive</w:t>
            </w:r>
            <w:r w:rsidR="00874B08">
              <w:rPr>
                <w:rStyle w:val="Firstpagetablebold"/>
                <w:rFonts w:cs="Arial"/>
                <w:b w:val="0"/>
                <w:color w:val="auto"/>
              </w:rPr>
              <w:t>,</w:t>
            </w:r>
            <w:r>
              <w:rPr>
                <w:rStyle w:val="Firstpagetablebold"/>
                <w:rFonts w:cs="Arial"/>
                <w:b w:val="0"/>
                <w:color w:val="auto"/>
              </w:rPr>
              <w:t xml:space="preserve"> Citizen and City Services</w:t>
            </w:r>
          </w:p>
        </w:tc>
      </w:tr>
      <w:tr w:rsidR="00CE544A" w:rsidRPr="00975B07" w14:paraId="312CDF01" w14:textId="77777777" w:rsidTr="62B73EE3">
        <w:tc>
          <w:tcPr>
            <w:tcW w:w="2438" w:type="dxa"/>
            <w:shd w:val="clear" w:color="auto" w:fill="auto"/>
          </w:tcPr>
          <w:p w14:paraId="08DE1E88"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shd w:val="clear" w:color="auto" w:fill="auto"/>
          </w:tcPr>
          <w:p w14:paraId="4C45E9F3" w14:textId="5C9459C9" w:rsidR="00F445B1" w:rsidRPr="009E30E2" w:rsidRDefault="00CA34D9" w:rsidP="004A6D2F">
            <w:pPr>
              <w:rPr>
                <w:rStyle w:val="Firstpagetablebold"/>
                <w:color w:val="auto"/>
              </w:rPr>
            </w:pPr>
            <w:r>
              <w:rPr>
                <w:rStyle w:val="Firstpagetablebold"/>
                <w:rFonts w:cs="Arial"/>
                <w:b w:val="0"/>
                <w:color w:val="auto"/>
              </w:rPr>
              <w:t>Hackney Carriage Vehicle</w:t>
            </w:r>
            <w:r w:rsidRPr="00CA34D9">
              <w:rPr>
                <w:rStyle w:val="Firstpagetablebold"/>
                <w:rFonts w:cs="Arial"/>
                <w:b w:val="0"/>
                <w:color w:val="auto"/>
              </w:rPr>
              <w:t xml:space="preserve"> Emission Standards Amendment</w:t>
            </w:r>
          </w:p>
        </w:tc>
      </w:tr>
    </w:tbl>
    <w:p w14:paraId="2173E708"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14:paraId="30A8EDD0" w14:textId="77777777" w:rsidTr="0080749A">
        <w:tc>
          <w:tcPr>
            <w:tcW w:w="8845" w:type="dxa"/>
            <w:gridSpan w:val="2"/>
            <w:tcBorders>
              <w:bottom w:val="single" w:sz="8" w:space="0" w:color="000000"/>
            </w:tcBorders>
            <w:hideMark/>
          </w:tcPr>
          <w:p w14:paraId="7672E43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1894138" w14:textId="77777777" w:rsidTr="0080749A">
        <w:tc>
          <w:tcPr>
            <w:tcW w:w="2438" w:type="dxa"/>
            <w:tcBorders>
              <w:top w:val="single" w:sz="8" w:space="0" w:color="000000"/>
              <w:left w:val="single" w:sz="8" w:space="0" w:color="000000"/>
              <w:bottom w:val="nil"/>
              <w:right w:val="nil"/>
            </w:tcBorders>
            <w:hideMark/>
          </w:tcPr>
          <w:p w14:paraId="5BB81F73" w14:textId="120319E8" w:rsidR="00D5547E" w:rsidRDefault="00025250">
            <w:pPr>
              <w:rPr>
                <w:rStyle w:val="Firstpagetablebold"/>
              </w:rPr>
            </w:pPr>
            <w:r>
              <w:rPr>
                <w:rStyle w:val="Firstpagetablebold"/>
              </w:rPr>
              <w:t>Decision being taken</w:t>
            </w:r>
            <w:r w:rsidR="00D5547E">
              <w:rPr>
                <w:rStyle w:val="Firstpagetablebold"/>
              </w:rPr>
              <w:t>:</w:t>
            </w:r>
          </w:p>
        </w:tc>
        <w:tc>
          <w:tcPr>
            <w:tcW w:w="6407" w:type="dxa"/>
            <w:tcBorders>
              <w:top w:val="single" w:sz="8" w:space="0" w:color="000000"/>
              <w:left w:val="nil"/>
              <w:bottom w:val="nil"/>
              <w:right w:val="single" w:sz="8" w:space="0" w:color="000000"/>
            </w:tcBorders>
            <w:hideMark/>
          </w:tcPr>
          <w:p w14:paraId="419B6548" w14:textId="189F737C" w:rsidR="00D5547E" w:rsidRPr="009E30E2" w:rsidRDefault="002D1230" w:rsidP="00DB7AD7">
            <w:pPr>
              <w:rPr>
                <w:color w:val="auto"/>
              </w:rPr>
            </w:pPr>
            <w:r w:rsidRPr="002D1230">
              <w:rPr>
                <w:color w:val="auto"/>
              </w:rPr>
              <w:t>To consider a delay to the</w:t>
            </w:r>
            <w:r w:rsidR="007C6F66">
              <w:rPr>
                <w:color w:val="auto"/>
              </w:rPr>
              <w:t xml:space="preserve"> final phase of</w:t>
            </w:r>
            <w:r w:rsidRPr="002D1230">
              <w:rPr>
                <w:color w:val="auto"/>
              </w:rPr>
              <w:t xml:space="preserve"> emission standards for Hackney Carriage Vehicles licensed by this Authority</w:t>
            </w:r>
            <w:r w:rsidR="00DB14C6">
              <w:rPr>
                <w:color w:val="auto"/>
              </w:rPr>
              <w:t>.</w:t>
            </w:r>
          </w:p>
        </w:tc>
      </w:tr>
      <w:tr w:rsidR="00025250" w14:paraId="43BD728D" w14:textId="77777777" w:rsidTr="0080749A">
        <w:tc>
          <w:tcPr>
            <w:tcW w:w="2438" w:type="dxa"/>
            <w:tcBorders>
              <w:top w:val="nil"/>
              <w:left w:val="single" w:sz="8" w:space="0" w:color="000000"/>
              <w:bottom w:val="nil"/>
              <w:right w:val="nil"/>
            </w:tcBorders>
            <w:hideMark/>
          </w:tcPr>
          <w:p w14:paraId="0997AE74" w14:textId="77777777" w:rsidR="00025250" w:rsidRDefault="00025250" w:rsidP="00025250">
            <w:pPr>
              <w:rPr>
                <w:rStyle w:val="Firstpagetablebold"/>
              </w:rPr>
            </w:pPr>
            <w:r>
              <w:rPr>
                <w:rStyle w:val="Firstpagetablebold"/>
              </w:rPr>
              <w:t>Key decision:</w:t>
            </w:r>
          </w:p>
        </w:tc>
        <w:tc>
          <w:tcPr>
            <w:tcW w:w="6407" w:type="dxa"/>
            <w:tcBorders>
              <w:top w:val="nil"/>
              <w:left w:val="nil"/>
              <w:bottom w:val="nil"/>
              <w:right w:val="single" w:sz="8" w:space="0" w:color="000000"/>
            </w:tcBorders>
            <w:hideMark/>
          </w:tcPr>
          <w:p w14:paraId="19D976A4" w14:textId="77777777" w:rsidR="00BC09D9" w:rsidRDefault="00BC09D9" w:rsidP="00025250">
            <w:r>
              <w:t>Yes</w:t>
            </w:r>
          </w:p>
          <w:p w14:paraId="1B0C58F5" w14:textId="4910855F" w:rsidR="00025250" w:rsidRPr="009E30E2" w:rsidRDefault="00874B08" w:rsidP="00025250">
            <w:pPr>
              <w:rPr>
                <w:color w:val="auto"/>
              </w:rPr>
            </w:pPr>
            <w:hyperlink r:id="rId11" w:history="1">
              <w:r w:rsidRPr="00874B08">
                <w:rPr>
                  <w:rStyle w:val="Hyperlink"/>
                </w:rPr>
                <w:t>Issue details - Hackney Carriage Vehicle Emission Standards | Oxford City Council</w:t>
              </w:r>
            </w:hyperlink>
          </w:p>
        </w:tc>
      </w:tr>
      <w:tr w:rsidR="00025250" w14:paraId="10A3E36F" w14:textId="77777777" w:rsidTr="0080749A">
        <w:tc>
          <w:tcPr>
            <w:tcW w:w="2438" w:type="dxa"/>
            <w:tcBorders>
              <w:top w:val="nil"/>
              <w:left w:val="single" w:sz="8" w:space="0" w:color="000000"/>
              <w:bottom w:val="nil"/>
              <w:right w:val="nil"/>
            </w:tcBorders>
            <w:hideMark/>
          </w:tcPr>
          <w:p w14:paraId="55E06E9D" w14:textId="77777777" w:rsidR="00025250" w:rsidRDefault="00025250" w:rsidP="00025250">
            <w:pPr>
              <w:rPr>
                <w:rStyle w:val="Firstpagetablebold"/>
              </w:rPr>
            </w:pPr>
            <w:r>
              <w:rPr>
                <w:rStyle w:val="Firstpagetablebold"/>
              </w:rPr>
              <w:t>Cabinet Member:</w:t>
            </w:r>
          </w:p>
        </w:tc>
        <w:tc>
          <w:tcPr>
            <w:tcW w:w="6407" w:type="dxa"/>
            <w:tcBorders>
              <w:top w:val="nil"/>
              <w:left w:val="nil"/>
              <w:bottom w:val="nil"/>
              <w:right w:val="single" w:sz="8" w:space="0" w:color="000000"/>
            </w:tcBorders>
            <w:hideMark/>
          </w:tcPr>
          <w:p w14:paraId="1E006809" w14:textId="5BEC4F19" w:rsidR="00025250" w:rsidRPr="009E30E2" w:rsidRDefault="002E28D0" w:rsidP="00025250">
            <w:pPr>
              <w:rPr>
                <w:color w:val="auto"/>
              </w:rPr>
            </w:pPr>
            <w:r>
              <w:rPr>
                <w:color w:val="auto"/>
              </w:rPr>
              <w:t>C</w:t>
            </w:r>
            <w:r>
              <w:t>ouncillor Anna Railton</w:t>
            </w:r>
            <w:r w:rsidR="00874B08">
              <w:t>.</w:t>
            </w:r>
            <w:r>
              <w:t xml:space="preserve"> </w:t>
            </w:r>
            <w:r w:rsidR="00874B08" w:rsidRPr="00874B08">
              <w:t>Deputy Leader, and Cabinet Member for a Zero Carbon Oxford</w:t>
            </w:r>
          </w:p>
        </w:tc>
      </w:tr>
      <w:tr w:rsidR="00DD7C8F" w14:paraId="7B700325" w14:textId="77777777" w:rsidTr="0097170F">
        <w:tc>
          <w:tcPr>
            <w:tcW w:w="2438" w:type="dxa"/>
            <w:tcBorders>
              <w:top w:val="nil"/>
              <w:left w:val="single" w:sz="8" w:space="0" w:color="000000"/>
              <w:bottom w:val="nil"/>
              <w:right w:val="nil"/>
            </w:tcBorders>
          </w:tcPr>
          <w:p w14:paraId="7A58DBB5" w14:textId="77777777" w:rsidR="00DD7C8F" w:rsidRDefault="00DD7C8F" w:rsidP="00DD7C8F">
            <w:pPr>
              <w:rPr>
                <w:rStyle w:val="Firstpagetablebold"/>
              </w:rPr>
            </w:pPr>
            <w:r>
              <w:rPr>
                <w:rStyle w:val="Firstpagetablebold"/>
              </w:rPr>
              <w:t>Corporate Priority:</w:t>
            </w:r>
          </w:p>
        </w:tc>
        <w:tc>
          <w:tcPr>
            <w:tcW w:w="6407" w:type="dxa"/>
            <w:tcBorders>
              <w:top w:val="nil"/>
              <w:left w:val="nil"/>
              <w:bottom w:val="nil"/>
              <w:right w:val="single" w:sz="8" w:space="0" w:color="000000"/>
            </w:tcBorders>
          </w:tcPr>
          <w:p w14:paraId="3DF1AC69" w14:textId="1D34A991" w:rsidR="00DD7C8F" w:rsidRPr="009E30E2" w:rsidRDefault="00DD7C8F" w:rsidP="00DD7C8F">
            <w:pPr>
              <w:rPr>
                <w:color w:val="auto"/>
              </w:rPr>
            </w:pPr>
            <w:r w:rsidRPr="000E495B">
              <w:rPr>
                <w:color w:val="auto"/>
              </w:rPr>
              <w:t>S</w:t>
            </w:r>
            <w:r w:rsidRPr="000E495B">
              <w:t xml:space="preserve">trong, </w:t>
            </w:r>
            <w:r>
              <w:t>F</w:t>
            </w:r>
            <w:r w:rsidRPr="000E495B">
              <w:t xml:space="preserve">air </w:t>
            </w:r>
            <w:r>
              <w:t>E</w:t>
            </w:r>
            <w:r w:rsidRPr="000E495B">
              <w:t>conomy</w:t>
            </w:r>
            <w:r w:rsidR="00E77446">
              <w:t>;</w:t>
            </w:r>
            <w:r w:rsidRPr="000E495B">
              <w:t xml:space="preserve"> </w:t>
            </w:r>
            <w:r>
              <w:t>T</w:t>
            </w:r>
            <w:r w:rsidRPr="000E495B">
              <w:t>hriving Communities</w:t>
            </w:r>
            <w:r w:rsidR="00E77446">
              <w:t xml:space="preserve">; </w:t>
            </w:r>
            <w:r w:rsidR="009E1E40">
              <w:t>Zero Carbon Ox</w:t>
            </w:r>
            <w:r w:rsidR="00E77446">
              <w:t>f</w:t>
            </w:r>
            <w:r w:rsidR="009E1E40">
              <w:t>ord</w:t>
            </w:r>
            <w:r w:rsidR="00E77446">
              <w:t>.</w:t>
            </w:r>
          </w:p>
        </w:tc>
      </w:tr>
      <w:tr w:rsidR="00025250" w14:paraId="63186D5F" w14:textId="77777777" w:rsidTr="0097170F">
        <w:tc>
          <w:tcPr>
            <w:tcW w:w="2438" w:type="dxa"/>
            <w:tcBorders>
              <w:top w:val="nil"/>
              <w:left w:val="single" w:sz="8" w:space="0" w:color="000000"/>
              <w:bottom w:val="single" w:sz="4" w:space="0" w:color="auto"/>
              <w:right w:val="nil"/>
            </w:tcBorders>
            <w:hideMark/>
          </w:tcPr>
          <w:p w14:paraId="13359BD4" w14:textId="77777777" w:rsidR="00025250" w:rsidRDefault="00025250" w:rsidP="00025250">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cBorders>
            <w:hideMark/>
          </w:tcPr>
          <w:p w14:paraId="0AA7D163" w14:textId="7065D14A" w:rsidR="00025250" w:rsidRPr="009E30E2" w:rsidRDefault="00025250" w:rsidP="00025250">
            <w:pPr>
              <w:rPr>
                <w:color w:val="auto"/>
              </w:rPr>
            </w:pPr>
          </w:p>
        </w:tc>
      </w:tr>
    </w:tbl>
    <w:p w14:paraId="3B28CE5F" w14:textId="77777777" w:rsidR="00CE544A" w:rsidRDefault="00CE544A"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90"/>
        <w:gridCol w:w="7623"/>
      </w:tblGrid>
      <w:tr w:rsidR="00025250" w:rsidRPr="00975B07" w14:paraId="75BF65A5" w14:textId="77777777" w:rsidTr="00FC5F4A">
        <w:trPr>
          <w:trHeight w:val="413"/>
        </w:trPr>
        <w:tc>
          <w:tcPr>
            <w:tcW w:w="8813" w:type="dxa"/>
            <w:gridSpan w:val="2"/>
            <w:tcBorders>
              <w:bottom w:val="single" w:sz="8" w:space="0" w:color="000000" w:themeColor="text1"/>
            </w:tcBorders>
          </w:tcPr>
          <w:p w14:paraId="18FB24CC" w14:textId="54764FD8" w:rsidR="00025250" w:rsidRPr="00975B07" w:rsidRDefault="00025250" w:rsidP="00FD0B08">
            <w:r w:rsidRPr="62B73EE3">
              <w:rPr>
                <w:rStyle w:val="Firstpagetablebold"/>
              </w:rPr>
              <w:t>Recommendation(s):</w:t>
            </w:r>
            <w:r w:rsidR="571C62E4" w:rsidRPr="62B73EE3">
              <w:rPr>
                <w:rStyle w:val="Firstpagetablebold"/>
              </w:rPr>
              <w:t xml:space="preserve"> </w:t>
            </w:r>
            <w:r w:rsidRPr="62B73EE3">
              <w:rPr>
                <w:rStyle w:val="Firstpagetablebold"/>
                <w:b w:val="0"/>
              </w:rPr>
              <w:t>Th</w:t>
            </w:r>
            <w:r w:rsidRPr="008C515D">
              <w:rPr>
                <w:rStyle w:val="Firstpagetablebold"/>
                <w:b w:val="0"/>
              </w:rPr>
              <w:t xml:space="preserve">at </w:t>
            </w:r>
            <w:r w:rsidR="00871AFB" w:rsidRPr="002C4893">
              <w:rPr>
                <w:rStyle w:val="Firstpagetablebold"/>
                <w:b w:val="0"/>
              </w:rPr>
              <w:t>Cabi</w:t>
            </w:r>
            <w:r w:rsidR="002C4893" w:rsidRPr="002C4893">
              <w:rPr>
                <w:rStyle w:val="Firstpagetablebold"/>
                <w:b w:val="0"/>
              </w:rPr>
              <w:t>net r</w:t>
            </w:r>
            <w:r w:rsidRPr="008C515D">
              <w:rPr>
                <w:rStyle w:val="Firstpagetablebold"/>
                <w:b w:val="0"/>
              </w:rPr>
              <w:t>esolves to:</w:t>
            </w:r>
          </w:p>
        </w:tc>
      </w:tr>
      <w:tr w:rsidR="00025250" w:rsidRPr="00975B07" w14:paraId="128A7C0D" w14:textId="77777777" w:rsidTr="00FC5F4A">
        <w:trPr>
          <w:trHeight w:val="283"/>
        </w:trPr>
        <w:tc>
          <w:tcPr>
            <w:tcW w:w="1190" w:type="dxa"/>
            <w:tcBorders>
              <w:top w:val="single" w:sz="8" w:space="0" w:color="000000" w:themeColor="text1"/>
              <w:left w:val="single" w:sz="8" w:space="0" w:color="000000" w:themeColor="text1"/>
              <w:bottom w:val="nil"/>
              <w:right w:val="nil"/>
            </w:tcBorders>
          </w:tcPr>
          <w:p w14:paraId="4AAB6C58" w14:textId="77777777" w:rsidR="00025250" w:rsidRPr="00975B07" w:rsidRDefault="00025250" w:rsidP="009655FF">
            <w:r w:rsidRPr="00975B07">
              <w:t>1.</w:t>
            </w:r>
          </w:p>
        </w:tc>
        <w:tc>
          <w:tcPr>
            <w:tcW w:w="7623" w:type="dxa"/>
            <w:tcBorders>
              <w:top w:val="single" w:sz="8" w:space="0" w:color="000000" w:themeColor="text1"/>
              <w:left w:val="nil"/>
              <w:bottom w:val="nil"/>
              <w:right w:val="single" w:sz="8" w:space="0" w:color="000000" w:themeColor="text1"/>
            </w:tcBorders>
            <w:shd w:val="clear" w:color="auto" w:fill="auto"/>
            <w:vAlign w:val="center"/>
          </w:tcPr>
          <w:p w14:paraId="2D683A1F" w14:textId="7FBDC308" w:rsidR="00AD4342" w:rsidRPr="001356F1" w:rsidRDefault="00AD4342" w:rsidP="009655FF">
            <w:pPr>
              <w:pStyle w:val="bParagraphtext"/>
              <w:numPr>
                <w:ilvl w:val="0"/>
                <w:numId w:val="0"/>
              </w:numPr>
            </w:pPr>
            <w:r>
              <w:t xml:space="preserve">Approve the </w:t>
            </w:r>
            <w:r w:rsidR="009655FF">
              <w:t>removal</w:t>
            </w:r>
            <w:r>
              <w:t xml:space="preserve"> of the</w:t>
            </w:r>
            <w:r w:rsidR="009655FF">
              <w:t xml:space="preserve"> current hackney carriage emissions standards requirement that</w:t>
            </w:r>
            <w:r>
              <w:t xml:space="preserve"> all new and renewal HCV applications </w:t>
            </w:r>
            <w:r w:rsidR="009655FF">
              <w:t>must</w:t>
            </w:r>
            <w:r>
              <w:t xml:space="preserve"> meet the Ultra-Low Emissions Vehicle standard</w:t>
            </w:r>
            <w:r w:rsidR="009655FF">
              <w:t xml:space="preserve"> by 1st January 2026.</w:t>
            </w:r>
          </w:p>
        </w:tc>
      </w:tr>
      <w:tr w:rsidR="00025250" w:rsidRPr="00975B07" w14:paraId="47AF7E26" w14:textId="77777777" w:rsidTr="00FC5F4A">
        <w:trPr>
          <w:trHeight w:val="283"/>
        </w:trPr>
        <w:tc>
          <w:tcPr>
            <w:tcW w:w="1190" w:type="dxa"/>
            <w:tcBorders>
              <w:top w:val="nil"/>
              <w:left w:val="single" w:sz="8" w:space="0" w:color="000000" w:themeColor="text1"/>
              <w:bottom w:val="single" w:sz="4" w:space="0" w:color="auto"/>
              <w:right w:val="nil"/>
            </w:tcBorders>
            <w:vAlign w:val="center"/>
          </w:tcPr>
          <w:p w14:paraId="782C9B59" w14:textId="5EF1A353" w:rsidR="00025250" w:rsidRPr="002B5B0C" w:rsidRDefault="00025250" w:rsidP="009655FF"/>
        </w:tc>
        <w:tc>
          <w:tcPr>
            <w:tcW w:w="7623" w:type="dxa"/>
            <w:tcBorders>
              <w:top w:val="nil"/>
              <w:left w:val="nil"/>
              <w:bottom w:val="single" w:sz="4" w:space="0" w:color="auto"/>
              <w:right w:val="single" w:sz="8" w:space="0" w:color="000000" w:themeColor="text1"/>
            </w:tcBorders>
            <w:shd w:val="clear" w:color="auto" w:fill="auto"/>
          </w:tcPr>
          <w:p w14:paraId="62508FF4" w14:textId="5A9A7106" w:rsidR="00386991" w:rsidRPr="00386991" w:rsidRDefault="00386991" w:rsidP="00386991">
            <w:pPr>
              <w:rPr>
                <w:highlight w:val="yellow"/>
              </w:rPr>
            </w:pPr>
          </w:p>
        </w:tc>
      </w:tr>
    </w:tbl>
    <w:p w14:paraId="3E3DC543" w14:textId="77777777" w:rsidR="00025250" w:rsidRDefault="00025250" w:rsidP="004A6D2F"/>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150"/>
        <w:gridCol w:w="5103"/>
        <w:gridCol w:w="1560"/>
      </w:tblGrid>
      <w:tr w:rsidR="002312EA" w:rsidRPr="003E4C33" w14:paraId="469C2CEE" w14:textId="77777777" w:rsidTr="00F0612E">
        <w:trPr>
          <w:trHeight w:val="300"/>
        </w:trPr>
        <w:tc>
          <w:tcPr>
            <w:tcW w:w="2150" w:type="dxa"/>
            <w:tcBorders>
              <w:bottom w:val="single" w:sz="4" w:space="0" w:color="auto"/>
            </w:tcBorders>
          </w:tcPr>
          <w:p w14:paraId="06B4268A" w14:textId="77777777" w:rsidR="002312EA" w:rsidRPr="003E4C33" w:rsidRDefault="002312EA" w:rsidP="00FD0B08">
            <w:pPr>
              <w:jc w:val="center"/>
              <w:rPr>
                <w:rStyle w:val="Firstpagetablebold"/>
                <w:rFonts w:cs="Arial"/>
              </w:rPr>
            </w:pPr>
            <w:r>
              <w:rPr>
                <w:rStyle w:val="Firstpagetablebold"/>
                <w:rFonts w:cs="Arial"/>
              </w:rPr>
              <w:t>A</w:t>
            </w:r>
            <w:r>
              <w:rPr>
                <w:rStyle w:val="Firstpagetablebold"/>
              </w:rPr>
              <w:t>ppendix No.</w:t>
            </w:r>
          </w:p>
        </w:tc>
        <w:tc>
          <w:tcPr>
            <w:tcW w:w="5103" w:type="dxa"/>
            <w:tcBorders>
              <w:bottom w:val="single" w:sz="4" w:space="0" w:color="auto"/>
            </w:tcBorders>
          </w:tcPr>
          <w:p w14:paraId="48373E4B" w14:textId="77777777" w:rsidR="002312EA" w:rsidRPr="003E4C33" w:rsidRDefault="002312EA" w:rsidP="00FD0B08">
            <w:pPr>
              <w:jc w:val="center"/>
              <w:rPr>
                <w:rStyle w:val="Firstpagetablebold"/>
                <w:rFonts w:cs="Arial"/>
              </w:rPr>
            </w:pPr>
            <w:r>
              <w:rPr>
                <w:rStyle w:val="Firstpagetablebold"/>
                <w:rFonts w:cs="Arial"/>
              </w:rPr>
              <w:t xml:space="preserve">Appendix Title </w:t>
            </w:r>
          </w:p>
        </w:tc>
        <w:tc>
          <w:tcPr>
            <w:tcW w:w="1560" w:type="dxa"/>
            <w:tcBorders>
              <w:bottom w:val="single" w:sz="4" w:space="0" w:color="auto"/>
            </w:tcBorders>
          </w:tcPr>
          <w:p w14:paraId="0A5DAC00" w14:textId="77777777" w:rsidR="002312EA" w:rsidRPr="003E4C33" w:rsidRDefault="002312EA" w:rsidP="00FD0B08">
            <w:pPr>
              <w:jc w:val="center"/>
              <w:rPr>
                <w:rStyle w:val="Firstpagetablebold"/>
                <w:rFonts w:cs="Arial"/>
              </w:rPr>
            </w:pPr>
            <w:r>
              <w:rPr>
                <w:rStyle w:val="Firstpagetablebold"/>
                <w:rFonts w:cs="Arial"/>
              </w:rPr>
              <w:t>Exempt from Publication</w:t>
            </w:r>
          </w:p>
        </w:tc>
      </w:tr>
      <w:tr w:rsidR="002312EA" w:rsidRPr="003E4C33" w14:paraId="43C48BEB" w14:textId="77777777" w:rsidTr="00F0612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2150" w:type="dxa"/>
            <w:tcBorders>
              <w:top w:val="single" w:sz="4" w:space="0" w:color="auto"/>
              <w:left w:val="single" w:sz="4" w:space="0" w:color="auto"/>
              <w:bottom w:val="single" w:sz="4" w:space="0" w:color="auto"/>
              <w:right w:val="single" w:sz="4" w:space="0" w:color="auto"/>
            </w:tcBorders>
          </w:tcPr>
          <w:p w14:paraId="70747163" w14:textId="5B5D6103" w:rsidR="002312EA" w:rsidRPr="009E30E2" w:rsidRDefault="002312EA" w:rsidP="00FD0B08">
            <w:pPr>
              <w:rPr>
                <w:rStyle w:val="Firstpagetablebold"/>
                <w:rFonts w:cs="Arial"/>
                <w:color w:val="auto"/>
              </w:rPr>
            </w:pPr>
            <w:r w:rsidRPr="009E30E2">
              <w:rPr>
                <w:rStyle w:val="Firstpagetablebold"/>
                <w:rFonts w:cs="Arial"/>
                <w:color w:val="auto"/>
              </w:rPr>
              <w:t xml:space="preserve">Appendix </w:t>
            </w:r>
            <w:r w:rsidR="007221E5">
              <w:rPr>
                <w:rStyle w:val="Firstpagetablebold"/>
                <w:rFonts w:cs="Arial"/>
                <w:color w:val="auto"/>
              </w:rPr>
              <w:t>One</w:t>
            </w:r>
          </w:p>
        </w:tc>
        <w:tc>
          <w:tcPr>
            <w:tcW w:w="5103" w:type="dxa"/>
            <w:tcBorders>
              <w:top w:val="single" w:sz="4" w:space="0" w:color="auto"/>
              <w:left w:val="single" w:sz="4" w:space="0" w:color="auto"/>
              <w:bottom w:val="single" w:sz="4" w:space="0" w:color="auto"/>
              <w:right w:val="single" w:sz="4" w:space="0" w:color="auto"/>
            </w:tcBorders>
          </w:tcPr>
          <w:p w14:paraId="3E2ED561" w14:textId="4DB777D7" w:rsidR="002312EA" w:rsidRPr="009E30E2" w:rsidRDefault="007221E5" w:rsidP="00FD0B08">
            <w:pPr>
              <w:rPr>
                <w:rFonts w:cs="Arial"/>
                <w:color w:val="auto"/>
              </w:rPr>
            </w:pPr>
            <w:r>
              <w:rPr>
                <w:rFonts w:cs="Arial"/>
                <w:color w:val="auto"/>
              </w:rPr>
              <w:t>2</w:t>
            </w:r>
            <w:r>
              <w:t>019 GPL Committee Report</w:t>
            </w:r>
          </w:p>
        </w:tc>
        <w:tc>
          <w:tcPr>
            <w:tcW w:w="1560" w:type="dxa"/>
            <w:tcBorders>
              <w:top w:val="single" w:sz="4" w:space="0" w:color="auto"/>
              <w:left w:val="single" w:sz="4" w:space="0" w:color="auto"/>
              <w:bottom w:val="single" w:sz="4" w:space="0" w:color="auto"/>
              <w:right w:val="single" w:sz="4" w:space="0" w:color="auto"/>
            </w:tcBorders>
          </w:tcPr>
          <w:p w14:paraId="349B4576" w14:textId="41982AF1" w:rsidR="002312EA" w:rsidRPr="009E30E2" w:rsidRDefault="007221E5" w:rsidP="00FD0B08">
            <w:pPr>
              <w:ind w:left="18" w:hanging="18"/>
              <w:rPr>
                <w:rFonts w:cs="Arial"/>
                <w:color w:val="auto"/>
              </w:rPr>
            </w:pPr>
            <w:r>
              <w:rPr>
                <w:rFonts w:cs="Arial"/>
                <w:color w:val="auto"/>
              </w:rPr>
              <w:t>No</w:t>
            </w:r>
          </w:p>
        </w:tc>
      </w:tr>
      <w:tr w:rsidR="002312EA" w:rsidRPr="003E4C33" w14:paraId="5332D292" w14:textId="77777777" w:rsidTr="00F0612E">
        <w:trPr>
          <w:trHeight w:val="300"/>
        </w:trPr>
        <w:tc>
          <w:tcPr>
            <w:tcW w:w="2150" w:type="dxa"/>
            <w:tcBorders>
              <w:top w:val="single" w:sz="4" w:space="0" w:color="auto"/>
              <w:left w:val="single" w:sz="8" w:space="0" w:color="000000" w:themeColor="text1"/>
              <w:bottom w:val="single" w:sz="4" w:space="0" w:color="auto"/>
              <w:right w:val="single" w:sz="4" w:space="0" w:color="auto"/>
            </w:tcBorders>
          </w:tcPr>
          <w:p w14:paraId="66389E38" w14:textId="2219F686" w:rsidR="002312EA" w:rsidRPr="009E30E2" w:rsidRDefault="002312EA" w:rsidP="00FD0B08">
            <w:pPr>
              <w:rPr>
                <w:rStyle w:val="Firstpagetablebold"/>
                <w:rFonts w:cs="Arial"/>
                <w:color w:val="auto"/>
              </w:rPr>
            </w:pPr>
            <w:r w:rsidRPr="009E30E2">
              <w:rPr>
                <w:rStyle w:val="Firstpagetablebold"/>
                <w:rFonts w:cs="Arial"/>
                <w:color w:val="auto"/>
              </w:rPr>
              <w:t xml:space="preserve">Appendix </w:t>
            </w:r>
            <w:r w:rsidR="007221E5">
              <w:rPr>
                <w:rStyle w:val="Firstpagetablebold"/>
                <w:rFonts w:cs="Arial"/>
                <w:color w:val="auto"/>
              </w:rPr>
              <w:t>Two</w:t>
            </w:r>
          </w:p>
        </w:tc>
        <w:tc>
          <w:tcPr>
            <w:tcW w:w="5103" w:type="dxa"/>
            <w:tcBorders>
              <w:top w:val="single" w:sz="4" w:space="0" w:color="auto"/>
              <w:left w:val="single" w:sz="4" w:space="0" w:color="auto"/>
              <w:bottom w:val="single" w:sz="4" w:space="0" w:color="auto"/>
              <w:right w:val="single" w:sz="4" w:space="0" w:color="auto"/>
            </w:tcBorders>
          </w:tcPr>
          <w:p w14:paraId="251AC11B" w14:textId="39B611B9" w:rsidR="002312EA" w:rsidRPr="009E30E2" w:rsidRDefault="007221E5" w:rsidP="00FD0B08">
            <w:pPr>
              <w:rPr>
                <w:rFonts w:cs="Arial"/>
                <w:color w:val="auto"/>
              </w:rPr>
            </w:pPr>
            <w:r>
              <w:rPr>
                <w:rFonts w:cs="Arial"/>
                <w:color w:val="auto"/>
              </w:rPr>
              <w:t>2024 GPL Committee Report</w:t>
            </w:r>
          </w:p>
        </w:tc>
        <w:tc>
          <w:tcPr>
            <w:tcW w:w="1560" w:type="dxa"/>
            <w:tcBorders>
              <w:top w:val="single" w:sz="4" w:space="0" w:color="auto"/>
              <w:left w:val="single" w:sz="4" w:space="0" w:color="auto"/>
              <w:bottom w:val="single" w:sz="4" w:space="0" w:color="auto"/>
              <w:right w:val="single" w:sz="8" w:space="0" w:color="000000" w:themeColor="text1"/>
            </w:tcBorders>
          </w:tcPr>
          <w:p w14:paraId="0E6EFED4" w14:textId="6A7A8FC0" w:rsidR="002312EA" w:rsidRPr="009E30E2" w:rsidRDefault="00F0612E" w:rsidP="00FD0B08">
            <w:pPr>
              <w:rPr>
                <w:rFonts w:cs="Arial"/>
                <w:color w:val="auto"/>
              </w:rPr>
            </w:pPr>
            <w:r>
              <w:rPr>
                <w:rFonts w:cs="Arial"/>
                <w:color w:val="auto"/>
              </w:rPr>
              <w:t>No</w:t>
            </w:r>
          </w:p>
        </w:tc>
      </w:tr>
      <w:tr w:rsidR="007221E5" w:rsidRPr="003E4C33" w14:paraId="6A623111" w14:textId="77777777" w:rsidTr="00F0612E">
        <w:trPr>
          <w:trHeight w:val="300"/>
        </w:trPr>
        <w:tc>
          <w:tcPr>
            <w:tcW w:w="2150" w:type="dxa"/>
            <w:tcBorders>
              <w:top w:val="single" w:sz="4" w:space="0" w:color="auto"/>
              <w:left w:val="single" w:sz="8" w:space="0" w:color="000000" w:themeColor="text1"/>
              <w:bottom w:val="single" w:sz="4" w:space="0" w:color="auto"/>
              <w:right w:val="single" w:sz="4" w:space="0" w:color="auto"/>
            </w:tcBorders>
          </w:tcPr>
          <w:p w14:paraId="6914FD01" w14:textId="6276D09C" w:rsidR="007221E5" w:rsidRPr="009E30E2" w:rsidRDefault="007221E5" w:rsidP="00FD0B08">
            <w:pPr>
              <w:rPr>
                <w:rStyle w:val="Firstpagetablebold"/>
                <w:rFonts w:cs="Arial"/>
                <w:color w:val="auto"/>
              </w:rPr>
            </w:pPr>
            <w:r w:rsidRPr="009E30E2">
              <w:rPr>
                <w:rStyle w:val="Firstpagetablebold"/>
                <w:rFonts w:cs="Arial"/>
                <w:color w:val="auto"/>
              </w:rPr>
              <w:t>Appendix</w:t>
            </w:r>
            <w:r>
              <w:rPr>
                <w:rStyle w:val="Firstpagetablebold"/>
                <w:rFonts w:cs="Arial"/>
                <w:color w:val="auto"/>
              </w:rPr>
              <w:t xml:space="preserve"> Three</w:t>
            </w:r>
          </w:p>
        </w:tc>
        <w:tc>
          <w:tcPr>
            <w:tcW w:w="5103" w:type="dxa"/>
            <w:tcBorders>
              <w:top w:val="single" w:sz="4" w:space="0" w:color="auto"/>
              <w:left w:val="single" w:sz="4" w:space="0" w:color="auto"/>
              <w:bottom w:val="single" w:sz="4" w:space="0" w:color="auto"/>
              <w:right w:val="single" w:sz="4" w:space="0" w:color="auto"/>
            </w:tcBorders>
          </w:tcPr>
          <w:p w14:paraId="653AF3EA" w14:textId="17976FA1" w:rsidR="007221E5" w:rsidRPr="009E30E2" w:rsidRDefault="007221E5" w:rsidP="00FD0B08">
            <w:pPr>
              <w:rPr>
                <w:rFonts w:cs="Arial"/>
                <w:color w:val="auto"/>
              </w:rPr>
            </w:pPr>
            <w:r>
              <w:rPr>
                <w:rFonts w:cs="Arial"/>
                <w:color w:val="auto"/>
              </w:rPr>
              <w:t>COLTA request for policy delay</w:t>
            </w:r>
          </w:p>
        </w:tc>
        <w:tc>
          <w:tcPr>
            <w:tcW w:w="1560" w:type="dxa"/>
            <w:tcBorders>
              <w:top w:val="single" w:sz="4" w:space="0" w:color="auto"/>
              <w:left w:val="single" w:sz="4" w:space="0" w:color="auto"/>
              <w:bottom w:val="single" w:sz="4" w:space="0" w:color="auto"/>
              <w:right w:val="single" w:sz="8" w:space="0" w:color="000000" w:themeColor="text1"/>
            </w:tcBorders>
          </w:tcPr>
          <w:p w14:paraId="21AC4F12" w14:textId="605C637E" w:rsidR="007221E5" w:rsidRPr="009E30E2" w:rsidRDefault="00F0612E" w:rsidP="00FD0B08">
            <w:pPr>
              <w:rPr>
                <w:rFonts w:cs="Arial"/>
                <w:color w:val="auto"/>
              </w:rPr>
            </w:pPr>
            <w:r>
              <w:rPr>
                <w:rFonts w:cs="Arial"/>
                <w:color w:val="auto"/>
              </w:rPr>
              <w:t>No</w:t>
            </w:r>
          </w:p>
        </w:tc>
      </w:tr>
      <w:tr w:rsidR="007221E5" w:rsidRPr="003E4C33" w14:paraId="44A96469" w14:textId="77777777" w:rsidTr="00F0612E">
        <w:trPr>
          <w:trHeight w:val="300"/>
        </w:trPr>
        <w:tc>
          <w:tcPr>
            <w:tcW w:w="2150" w:type="dxa"/>
            <w:tcBorders>
              <w:top w:val="single" w:sz="4" w:space="0" w:color="auto"/>
              <w:left w:val="single" w:sz="8" w:space="0" w:color="000000" w:themeColor="text1"/>
              <w:bottom w:val="single" w:sz="4" w:space="0" w:color="auto"/>
              <w:right w:val="single" w:sz="4" w:space="0" w:color="auto"/>
            </w:tcBorders>
          </w:tcPr>
          <w:p w14:paraId="5401369C" w14:textId="378A8BE6" w:rsidR="007221E5" w:rsidRPr="009E30E2" w:rsidRDefault="007221E5" w:rsidP="00FD0B08">
            <w:pPr>
              <w:rPr>
                <w:rStyle w:val="Firstpagetablebold"/>
                <w:rFonts w:cs="Arial"/>
                <w:color w:val="auto"/>
              </w:rPr>
            </w:pPr>
            <w:r w:rsidRPr="009E30E2">
              <w:rPr>
                <w:rStyle w:val="Firstpagetablebold"/>
                <w:rFonts w:cs="Arial"/>
                <w:color w:val="auto"/>
              </w:rPr>
              <w:t>Appendix</w:t>
            </w:r>
            <w:r>
              <w:rPr>
                <w:rStyle w:val="Firstpagetablebold"/>
                <w:rFonts w:cs="Arial"/>
                <w:color w:val="auto"/>
              </w:rPr>
              <w:t xml:space="preserve"> Four</w:t>
            </w:r>
          </w:p>
        </w:tc>
        <w:tc>
          <w:tcPr>
            <w:tcW w:w="5103" w:type="dxa"/>
            <w:tcBorders>
              <w:top w:val="single" w:sz="4" w:space="0" w:color="auto"/>
              <w:left w:val="single" w:sz="4" w:space="0" w:color="auto"/>
              <w:bottom w:val="single" w:sz="4" w:space="0" w:color="auto"/>
              <w:right w:val="single" w:sz="4" w:space="0" w:color="auto"/>
            </w:tcBorders>
          </w:tcPr>
          <w:p w14:paraId="4D98EBEB" w14:textId="35330692" w:rsidR="007221E5" w:rsidRPr="009E30E2" w:rsidRDefault="00F0612E" w:rsidP="00FD0B08">
            <w:pPr>
              <w:rPr>
                <w:rFonts w:cs="Arial"/>
                <w:color w:val="auto"/>
              </w:rPr>
            </w:pPr>
            <w:r>
              <w:rPr>
                <w:rFonts w:cs="Arial"/>
                <w:color w:val="auto"/>
              </w:rPr>
              <w:t xml:space="preserve">2025 </w:t>
            </w:r>
            <w:r w:rsidRPr="00F0612E">
              <w:rPr>
                <w:rFonts w:cs="Arial"/>
                <w:color w:val="auto"/>
              </w:rPr>
              <w:t>Affordability and Emissions</w:t>
            </w:r>
            <w:r>
              <w:rPr>
                <w:rFonts w:cs="Arial"/>
                <w:color w:val="auto"/>
              </w:rPr>
              <w:t xml:space="preserve"> Report</w:t>
            </w:r>
          </w:p>
        </w:tc>
        <w:tc>
          <w:tcPr>
            <w:tcW w:w="1560" w:type="dxa"/>
            <w:tcBorders>
              <w:top w:val="single" w:sz="4" w:space="0" w:color="auto"/>
              <w:left w:val="single" w:sz="4" w:space="0" w:color="auto"/>
              <w:bottom w:val="single" w:sz="4" w:space="0" w:color="auto"/>
              <w:right w:val="single" w:sz="8" w:space="0" w:color="000000" w:themeColor="text1"/>
            </w:tcBorders>
          </w:tcPr>
          <w:p w14:paraId="7E9F69C3" w14:textId="1F98773E" w:rsidR="007221E5" w:rsidRPr="009E30E2" w:rsidRDefault="00F0612E" w:rsidP="00FD0B08">
            <w:pPr>
              <w:rPr>
                <w:rFonts w:cs="Arial"/>
                <w:color w:val="auto"/>
              </w:rPr>
            </w:pPr>
            <w:r>
              <w:rPr>
                <w:rFonts w:cs="Arial"/>
                <w:color w:val="auto"/>
              </w:rPr>
              <w:t>No</w:t>
            </w:r>
          </w:p>
        </w:tc>
      </w:tr>
      <w:tr w:rsidR="007221E5" w:rsidRPr="003E4C33" w14:paraId="748EB3C5" w14:textId="77777777" w:rsidTr="00F0612E">
        <w:trPr>
          <w:trHeight w:val="300"/>
        </w:trPr>
        <w:tc>
          <w:tcPr>
            <w:tcW w:w="2150" w:type="dxa"/>
            <w:tcBorders>
              <w:top w:val="single" w:sz="4" w:space="0" w:color="auto"/>
              <w:left w:val="single" w:sz="8" w:space="0" w:color="000000" w:themeColor="text1"/>
              <w:bottom w:val="single" w:sz="4" w:space="0" w:color="auto"/>
              <w:right w:val="single" w:sz="4" w:space="0" w:color="auto"/>
            </w:tcBorders>
          </w:tcPr>
          <w:p w14:paraId="55B8050B" w14:textId="705315E9" w:rsidR="007221E5" w:rsidRPr="009E30E2" w:rsidRDefault="007221E5" w:rsidP="00FD0B08">
            <w:pPr>
              <w:rPr>
                <w:rStyle w:val="Firstpagetablebold"/>
                <w:rFonts w:cs="Arial"/>
                <w:color w:val="auto"/>
              </w:rPr>
            </w:pPr>
            <w:r w:rsidRPr="009E30E2">
              <w:rPr>
                <w:rStyle w:val="Firstpagetablebold"/>
                <w:rFonts w:cs="Arial"/>
                <w:color w:val="auto"/>
              </w:rPr>
              <w:t>Appendix</w:t>
            </w:r>
            <w:r>
              <w:rPr>
                <w:rStyle w:val="Firstpagetablebold"/>
                <w:rFonts w:cs="Arial"/>
                <w:color w:val="auto"/>
              </w:rPr>
              <w:t xml:space="preserve"> </w:t>
            </w:r>
            <w:r w:rsidR="00896ABC">
              <w:rPr>
                <w:rStyle w:val="Firstpagetablebold"/>
                <w:rFonts w:cs="Arial"/>
                <w:color w:val="auto"/>
              </w:rPr>
              <w:t>Five</w:t>
            </w:r>
          </w:p>
        </w:tc>
        <w:tc>
          <w:tcPr>
            <w:tcW w:w="5103" w:type="dxa"/>
            <w:tcBorders>
              <w:top w:val="single" w:sz="4" w:space="0" w:color="auto"/>
              <w:left w:val="single" w:sz="4" w:space="0" w:color="auto"/>
              <w:bottom w:val="single" w:sz="4" w:space="0" w:color="auto"/>
              <w:right w:val="single" w:sz="4" w:space="0" w:color="auto"/>
            </w:tcBorders>
          </w:tcPr>
          <w:p w14:paraId="0FA6503D" w14:textId="356460BA" w:rsidR="007221E5" w:rsidRPr="009E30E2" w:rsidRDefault="00F0612E" w:rsidP="00FD0B08">
            <w:pPr>
              <w:rPr>
                <w:rFonts w:cs="Arial"/>
                <w:color w:val="auto"/>
              </w:rPr>
            </w:pPr>
            <w:r>
              <w:rPr>
                <w:rFonts w:cs="Arial"/>
                <w:color w:val="auto"/>
              </w:rPr>
              <w:t>Equality Impact Assessment</w:t>
            </w:r>
          </w:p>
        </w:tc>
        <w:tc>
          <w:tcPr>
            <w:tcW w:w="1560" w:type="dxa"/>
            <w:tcBorders>
              <w:top w:val="single" w:sz="4" w:space="0" w:color="auto"/>
              <w:left w:val="single" w:sz="4" w:space="0" w:color="auto"/>
              <w:bottom w:val="single" w:sz="4" w:space="0" w:color="auto"/>
              <w:right w:val="single" w:sz="8" w:space="0" w:color="000000" w:themeColor="text1"/>
            </w:tcBorders>
          </w:tcPr>
          <w:p w14:paraId="7A60F472" w14:textId="27C2E8B6" w:rsidR="007221E5" w:rsidRPr="009E30E2" w:rsidRDefault="00F0612E" w:rsidP="00FD0B08">
            <w:pPr>
              <w:rPr>
                <w:rFonts w:cs="Arial"/>
                <w:color w:val="auto"/>
              </w:rPr>
            </w:pPr>
            <w:r>
              <w:rPr>
                <w:rFonts w:cs="Arial"/>
                <w:color w:val="auto"/>
              </w:rPr>
              <w:t>No</w:t>
            </w:r>
          </w:p>
        </w:tc>
      </w:tr>
    </w:tbl>
    <w:p w14:paraId="572B1CF3" w14:textId="77777777" w:rsidR="002312EA" w:rsidRDefault="002312EA" w:rsidP="004A6D2F"/>
    <w:p w14:paraId="50E21B3B" w14:textId="77777777" w:rsidR="0040736F" w:rsidRPr="001356F1" w:rsidRDefault="00F66DCA" w:rsidP="00DC09A9">
      <w:pPr>
        <w:pStyle w:val="Heading1"/>
      </w:pPr>
      <w:r w:rsidRPr="001356F1">
        <w:t>Introduction and b</w:t>
      </w:r>
      <w:r w:rsidR="00151888" w:rsidRPr="001356F1">
        <w:t>ackground</w:t>
      </w:r>
      <w:r w:rsidR="00404032" w:rsidRPr="001356F1">
        <w:t xml:space="preserve"> </w:t>
      </w:r>
    </w:p>
    <w:p w14:paraId="21D044A1" w14:textId="483D7007" w:rsidR="0016669A" w:rsidRDefault="00BD0140" w:rsidP="00DC09A9">
      <w:pPr>
        <w:pStyle w:val="bParagraphtext"/>
        <w:numPr>
          <w:ilvl w:val="0"/>
          <w:numId w:val="38"/>
        </w:numPr>
        <w:spacing w:before="240"/>
        <w:ind w:left="426" w:hanging="426"/>
      </w:pPr>
      <w:r>
        <w:t>On 23</w:t>
      </w:r>
      <w:r w:rsidRPr="00BD0140">
        <w:rPr>
          <w:vertAlign w:val="superscript"/>
        </w:rPr>
        <w:t>rd</w:t>
      </w:r>
      <w:r>
        <w:t xml:space="preserve"> January 2019 the General Purposes Licensing (GPL) Committee approved the recommendation to introduce new emission standards for hackney carriage vehicles (HCV</w:t>
      </w:r>
      <w:r w:rsidR="0024577A">
        <w:t>) licenced by this Authority, to reduce emissions in the taxi fleet and improve air quality in the City.</w:t>
      </w:r>
    </w:p>
    <w:p w14:paraId="60DC6FA6" w14:textId="3AA95AE5" w:rsidR="006462C7" w:rsidRDefault="006462C7" w:rsidP="00DC09A9">
      <w:pPr>
        <w:pStyle w:val="bParagraphtext"/>
        <w:numPr>
          <w:ilvl w:val="0"/>
          <w:numId w:val="38"/>
        </w:numPr>
        <w:spacing w:before="240"/>
        <w:ind w:left="426" w:hanging="426"/>
      </w:pPr>
      <w:r>
        <w:t xml:space="preserve">It was acknowledged that Oxford City centre has high levels of toxic nitrogen dioxide, which contributes to diseases including cancer, asthma, stroke and heart disease; </w:t>
      </w:r>
      <w:proofErr w:type="gramStart"/>
      <w:r>
        <w:t>and,</w:t>
      </w:r>
      <w:proofErr w:type="gramEnd"/>
      <w:r>
        <w:t xml:space="preserve"> to around 40,000 deaths in the UK every year.</w:t>
      </w:r>
    </w:p>
    <w:p w14:paraId="36FF58F6" w14:textId="153EEC05" w:rsidR="006462C7" w:rsidRDefault="006462C7" w:rsidP="00DC09A9">
      <w:pPr>
        <w:pStyle w:val="bParagraphtext"/>
        <w:numPr>
          <w:ilvl w:val="0"/>
          <w:numId w:val="0"/>
        </w:numPr>
        <w:spacing w:before="240"/>
        <w:ind w:left="426"/>
        <w:rPr>
          <w:b/>
          <w:bCs/>
        </w:rPr>
      </w:pPr>
      <w:r>
        <w:t xml:space="preserve">The 2019 GPL Committee report can be found at </w:t>
      </w:r>
      <w:r>
        <w:rPr>
          <w:b/>
          <w:bCs/>
        </w:rPr>
        <w:t xml:space="preserve">Appendix </w:t>
      </w:r>
      <w:r w:rsidR="007B130D">
        <w:rPr>
          <w:b/>
          <w:bCs/>
        </w:rPr>
        <w:t>One.</w:t>
      </w:r>
    </w:p>
    <w:p w14:paraId="7A64377A" w14:textId="59B5E3F0" w:rsidR="0016669A" w:rsidRDefault="00E447DF" w:rsidP="00DC09A9">
      <w:pPr>
        <w:pStyle w:val="bParagraphtext"/>
        <w:numPr>
          <w:ilvl w:val="0"/>
          <w:numId w:val="38"/>
        </w:numPr>
        <w:spacing w:before="240"/>
        <w:ind w:left="426" w:hanging="426"/>
      </w:pPr>
      <w:r>
        <w:t>On 5</w:t>
      </w:r>
      <w:r w:rsidRPr="00E447DF">
        <w:rPr>
          <w:vertAlign w:val="superscript"/>
        </w:rPr>
        <w:t>th</w:t>
      </w:r>
      <w:r>
        <w:t xml:space="preserve"> February 202</w:t>
      </w:r>
      <w:r w:rsidR="007A6E5E">
        <w:t>4 the GPL Committee approved an amendment to the emission standards for HCVs</w:t>
      </w:r>
      <w:r w:rsidR="00EE1692">
        <w:t>, by extending the final phase of the standards, requir</w:t>
      </w:r>
      <w:r w:rsidR="0044790A">
        <w:t>ing</w:t>
      </w:r>
      <w:r w:rsidR="00EE1692">
        <w:t xml:space="preserve"> all new and renewal HCV applications to meet ultra-low emission vehicle (ULEV) standards</w:t>
      </w:r>
      <w:r w:rsidR="0044790A">
        <w:t xml:space="preserve"> from 1</w:t>
      </w:r>
      <w:r w:rsidR="0044790A" w:rsidRPr="0044790A">
        <w:rPr>
          <w:vertAlign w:val="superscript"/>
        </w:rPr>
        <w:t>st</w:t>
      </w:r>
      <w:r w:rsidR="0044790A">
        <w:t xml:space="preserve"> January 2026 (previously 1</w:t>
      </w:r>
      <w:r w:rsidR="0044790A" w:rsidRPr="0044790A">
        <w:rPr>
          <w:vertAlign w:val="superscript"/>
        </w:rPr>
        <w:t>st</w:t>
      </w:r>
      <w:r w:rsidR="0044790A">
        <w:t xml:space="preserve"> January 2025).</w:t>
      </w:r>
      <w:r w:rsidR="00AC4FA0">
        <w:t xml:space="preserve"> This report included a public consultation.</w:t>
      </w:r>
    </w:p>
    <w:p w14:paraId="7E331E5D" w14:textId="4C15D124" w:rsidR="005518E6" w:rsidRDefault="005518E6" w:rsidP="00DC09A9">
      <w:pPr>
        <w:pStyle w:val="bParagraphtext"/>
        <w:numPr>
          <w:ilvl w:val="0"/>
          <w:numId w:val="38"/>
        </w:numPr>
        <w:spacing w:before="240"/>
        <w:ind w:left="426" w:hanging="426"/>
      </w:pPr>
      <w:r>
        <w:t xml:space="preserve">On </w:t>
      </w:r>
      <w:r w:rsidR="007F1159">
        <w:t>18</w:t>
      </w:r>
      <w:r w:rsidR="007F1159" w:rsidRPr="007F1159">
        <w:rPr>
          <w:vertAlign w:val="superscript"/>
        </w:rPr>
        <w:t>th</w:t>
      </w:r>
      <w:r w:rsidR="007F1159">
        <w:t xml:space="preserve"> March 2025</w:t>
      </w:r>
      <w:r w:rsidR="00F854DC">
        <w:t xml:space="preserve">, the recommended </w:t>
      </w:r>
      <w:r>
        <w:t xml:space="preserve">extension was further debated at </w:t>
      </w:r>
      <w:r w:rsidR="00D34804">
        <w:t>f</w:t>
      </w:r>
      <w:r>
        <w:t>ull Council</w:t>
      </w:r>
      <w:r w:rsidR="00F854DC">
        <w:t>, who subsequently voted to approve it.</w:t>
      </w:r>
    </w:p>
    <w:p w14:paraId="36087991" w14:textId="33CC6AFD" w:rsidR="0016669A" w:rsidRDefault="00C37FC1" w:rsidP="00DC09A9">
      <w:pPr>
        <w:pStyle w:val="bParagraphtext"/>
        <w:numPr>
          <w:ilvl w:val="0"/>
          <w:numId w:val="0"/>
        </w:numPr>
        <w:spacing w:before="240"/>
        <w:ind w:left="426"/>
        <w:rPr>
          <w:b/>
          <w:bCs/>
        </w:rPr>
      </w:pPr>
      <w:r>
        <w:t xml:space="preserve">The 2024 GPL Committee report can be found at </w:t>
      </w:r>
      <w:r>
        <w:rPr>
          <w:b/>
          <w:bCs/>
        </w:rPr>
        <w:t>Appendix Two.</w:t>
      </w:r>
    </w:p>
    <w:p w14:paraId="0BF4529E" w14:textId="4021C91A" w:rsidR="004F2F74" w:rsidRPr="000F41A7" w:rsidRDefault="00F60251" w:rsidP="00DC09A9">
      <w:pPr>
        <w:pStyle w:val="bParagraphtext"/>
        <w:numPr>
          <w:ilvl w:val="0"/>
          <w:numId w:val="38"/>
        </w:numPr>
        <w:spacing w:before="240"/>
        <w:ind w:left="426" w:hanging="426"/>
      </w:pPr>
      <w:r>
        <w:t>The current HCV emission standards, as adopted by the Council</w:t>
      </w:r>
      <w:r w:rsidR="00535947">
        <w:t xml:space="preserve"> are</w:t>
      </w:r>
      <w:r w:rsidR="000F41A7">
        <w:t>:</w:t>
      </w:r>
      <w:r>
        <w:t xml:space="preserve"> </w:t>
      </w:r>
    </w:p>
    <w:p w14:paraId="371223C2" w14:textId="77777777" w:rsidR="004F2F74" w:rsidRPr="00AF4B0A" w:rsidRDefault="004F2F74" w:rsidP="00DC09A9">
      <w:pPr>
        <w:pStyle w:val="Default"/>
        <w:spacing w:before="240" w:after="120"/>
        <w:ind w:left="142" w:right="367"/>
        <w:rPr>
          <w:sz w:val="10"/>
          <w:szCs w:val="10"/>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2296"/>
        <w:gridCol w:w="4111"/>
      </w:tblGrid>
      <w:tr w:rsidR="004F2F74" w:rsidRPr="00BC3A05" w14:paraId="3BB98398" w14:textId="77777777" w:rsidTr="00FC5F4A">
        <w:trPr>
          <w:trHeight w:val="812"/>
        </w:trPr>
        <w:tc>
          <w:tcPr>
            <w:tcW w:w="2523" w:type="dxa"/>
          </w:tcPr>
          <w:p w14:paraId="4DF29155" w14:textId="77777777" w:rsidR="004F2F74" w:rsidRPr="00535947" w:rsidRDefault="004F2F74" w:rsidP="00DC09A9">
            <w:pPr>
              <w:pStyle w:val="Default"/>
              <w:spacing w:before="240" w:after="120"/>
            </w:pPr>
            <w:r w:rsidRPr="00535947">
              <w:rPr>
                <w:b/>
                <w:bCs/>
              </w:rPr>
              <w:t xml:space="preserve">Date From </w:t>
            </w:r>
          </w:p>
        </w:tc>
        <w:tc>
          <w:tcPr>
            <w:tcW w:w="2296" w:type="dxa"/>
          </w:tcPr>
          <w:p w14:paraId="6DBE4B22" w14:textId="77777777" w:rsidR="004F2F74" w:rsidRPr="00535947" w:rsidRDefault="004F2F74" w:rsidP="00DC09A9">
            <w:pPr>
              <w:pStyle w:val="Default"/>
              <w:spacing w:before="240" w:after="120"/>
            </w:pPr>
            <w:r w:rsidRPr="00535947">
              <w:rPr>
                <w:b/>
                <w:bCs/>
              </w:rPr>
              <w:t xml:space="preserve">Renewal HCV Applications </w:t>
            </w:r>
          </w:p>
        </w:tc>
        <w:tc>
          <w:tcPr>
            <w:tcW w:w="4111" w:type="dxa"/>
          </w:tcPr>
          <w:p w14:paraId="38554EB7" w14:textId="72C21EFF" w:rsidR="004F2F74" w:rsidRPr="00535947" w:rsidRDefault="004F2F74" w:rsidP="00DC09A9">
            <w:pPr>
              <w:pStyle w:val="Default"/>
              <w:spacing w:before="240" w:after="120"/>
            </w:pPr>
            <w:r w:rsidRPr="00535947">
              <w:rPr>
                <w:b/>
                <w:bCs/>
              </w:rPr>
              <w:t xml:space="preserve">New HCV Applications </w:t>
            </w:r>
          </w:p>
        </w:tc>
      </w:tr>
      <w:tr w:rsidR="004F2F74" w:rsidRPr="00BC3A05" w14:paraId="35D31927" w14:textId="77777777" w:rsidTr="00FC5F4A">
        <w:trPr>
          <w:trHeight w:val="1086"/>
        </w:trPr>
        <w:tc>
          <w:tcPr>
            <w:tcW w:w="2523" w:type="dxa"/>
          </w:tcPr>
          <w:p w14:paraId="56FA3223" w14:textId="77777777" w:rsidR="004F2F74" w:rsidRPr="00535947" w:rsidRDefault="004F2F74" w:rsidP="00DC09A9">
            <w:pPr>
              <w:pStyle w:val="Default"/>
              <w:spacing w:before="240" w:after="120"/>
            </w:pPr>
            <w:r w:rsidRPr="00535947">
              <w:t xml:space="preserve">Renewal – 1st January 2020 </w:t>
            </w:r>
          </w:p>
          <w:p w14:paraId="57625356" w14:textId="77777777" w:rsidR="004F2F74" w:rsidRPr="00535947" w:rsidRDefault="004F2F74" w:rsidP="00DC09A9">
            <w:pPr>
              <w:pStyle w:val="Default"/>
              <w:spacing w:before="240" w:after="120"/>
            </w:pPr>
            <w:r w:rsidRPr="00535947">
              <w:t xml:space="preserve">New – Immediately </w:t>
            </w:r>
          </w:p>
        </w:tc>
        <w:tc>
          <w:tcPr>
            <w:tcW w:w="2296" w:type="dxa"/>
          </w:tcPr>
          <w:p w14:paraId="7223F649" w14:textId="77777777" w:rsidR="004F2F74" w:rsidRPr="00535947" w:rsidRDefault="004F2F74" w:rsidP="00DC09A9">
            <w:pPr>
              <w:pStyle w:val="Default"/>
              <w:spacing w:before="240" w:after="120"/>
            </w:pPr>
            <w:r w:rsidRPr="00535947">
              <w:t xml:space="preserve">All HCV must meet EURO 4 emission standard </w:t>
            </w:r>
          </w:p>
        </w:tc>
        <w:tc>
          <w:tcPr>
            <w:tcW w:w="4111" w:type="dxa"/>
          </w:tcPr>
          <w:p w14:paraId="34E7A5DF" w14:textId="39135D05" w:rsidR="004F2F74" w:rsidRPr="00535947" w:rsidRDefault="004F2F74" w:rsidP="004C5C4A">
            <w:pPr>
              <w:pStyle w:val="Default"/>
              <w:spacing w:before="240" w:after="120"/>
            </w:pPr>
            <w:r w:rsidRPr="00535947">
              <w:t xml:space="preserve">All HCV must meet EURO4, EURO 6 or ULEV emission </w:t>
            </w:r>
            <w:proofErr w:type="gramStart"/>
            <w:r w:rsidRPr="00535947">
              <w:t>standard</w:t>
            </w:r>
            <w:r w:rsidR="004C5C4A">
              <w:t>.</w:t>
            </w:r>
            <w:r w:rsidRPr="00535947">
              <w:t>(</w:t>
            </w:r>
            <w:proofErr w:type="gramEnd"/>
            <w:r w:rsidRPr="00535947">
              <w:t xml:space="preserve">EURO 5 vehicles will not be considered to meet this standard) </w:t>
            </w:r>
          </w:p>
        </w:tc>
      </w:tr>
      <w:tr w:rsidR="004F2F74" w:rsidRPr="00BC3A05" w14:paraId="0C49F9AD" w14:textId="77777777" w:rsidTr="00FC5F4A">
        <w:trPr>
          <w:trHeight w:val="1571"/>
        </w:trPr>
        <w:tc>
          <w:tcPr>
            <w:tcW w:w="2523" w:type="dxa"/>
            <w:tcBorders>
              <w:bottom w:val="single" w:sz="24" w:space="0" w:color="548DD4" w:themeColor="text2" w:themeTint="99"/>
            </w:tcBorders>
          </w:tcPr>
          <w:p w14:paraId="7E78CF65" w14:textId="77777777" w:rsidR="004F2F74" w:rsidRPr="00535947" w:rsidRDefault="004F2F74" w:rsidP="00DC09A9">
            <w:pPr>
              <w:pStyle w:val="Default"/>
              <w:spacing w:before="240" w:after="120"/>
            </w:pPr>
            <w:r w:rsidRPr="00535947">
              <w:t xml:space="preserve">1st January 2022 </w:t>
            </w:r>
          </w:p>
        </w:tc>
        <w:tc>
          <w:tcPr>
            <w:tcW w:w="2296" w:type="dxa"/>
            <w:tcBorders>
              <w:bottom w:val="single" w:sz="24" w:space="0" w:color="548DD4" w:themeColor="text2" w:themeTint="99"/>
            </w:tcBorders>
          </w:tcPr>
          <w:p w14:paraId="7BB95AE9" w14:textId="77777777" w:rsidR="004F2F74" w:rsidRPr="00535947" w:rsidRDefault="004F2F74" w:rsidP="00DC09A9">
            <w:pPr>
              <w:pStyle w:val="Default"/>
              <w:spacing w:before="240" w:after="120"/>
            </w:pPr>
            <w:r w:rsidRPr="00535947">
              <w:t xml:space="preserve">All HCV must meet EURO 4 emission standard </w:t>
            </w:r>
          </w:p>
        </w:tc>
        <w:tc>
          <w:tcPr>
            <w:tcW w:w="4111" w:type="dxa"/>
            <w:tcBorders>
              <w:bottom w:val="single" w:sz="24" w:space="0" w:color="548DD4" w:themeColor="text2" w:themeTint="99"/>
            </w:tcBorders>
          </w:tcPr>
          <w:p w14:paraId="4D2E824F" w14:textId="0415100A" w:rsidR="004F2F74" w:rsidRPr="00535947" w:rsidRDefault="004F2F74" w:rsidP="00DC09A9">
            <w:pPr>
              <w:pStyle w:val="Default"/>
              <w:spacing w:before="240" w:after="120"/>
            </w:pPr>
            <w:r w:rsidRPr="00535947">
              <w:t xml:space="preserve">All HCV must meet ULEV standard, *or at least Euro 4 if replacing an existing Euro 4, Euro 5 or Euro 6 due to the vehicle being written off by an insurance company or is a temporary courtesy vehicle due to repairs </w:t>
            </w:r>
          </w:p>
        </w:tc>
      </w:tr>
      <w:tr w:rsidR="004F2F74" w:rsidRPr="00BC3A05" w14:paraId="27343FE7" w14:textId="77777777" w:rsidTr="00FC5F4A">
        <w:trPr>
          <w:trHeight w:val="588"/>
        </w:trPr>
        <w:tc>
          <w:tcPr>
            <w:tcW w:w="2523" w:type="dxa"/>
            <w:tcBorders>
              <w:top w:val="single" w:sz="24" w:space="0" w:color="548DD4" w:themeColor="text2" w:themeTint="99"/>
              <w:left w:val="single" w:sz="24" w:space="0" w:color="548DD4" w:themeColor="text2" w:themeTint="99"/>
              <w:bottom w:val="single" w:sz="24" w:space="0" w:color="548DD4" w:themeColor="text2" w:themeTint="99"/>
            </w:tcBorders>
          </w:tcPr>
          <w:p w14:paraId="0CFC27AF" w14:textId="602E859E" w:rsidR="004F2F74" w:rsidRPr="00535947" w:rsidRDefault="004F2F74" w:rsidP="00DC09A9">
            <w:pPr>
              <w:pStyle w:val="Default"/>
              <w:spacing w:before="240" w:after="120"/>
            </w:pPr>
            <w:r w:rsidRPr="00535947">
              <w:t>1st January 202</w:t>
            </w:r>
            <w:r w:rsidR="00BD217C" w:rsidRPr="00535947">
              <w:t>6</w:t>
            </w:r>
            <w:r w:rsidRPr="00535947">
              <w:t xml:space="preserve"> </w:t>
            </w:r>
          </w:p>
        </w:tc>
        <w:tc>
          <w:tcPr>
            <w:tcW w:w="2296" w:type="dxa"/>
            <w:tcBorders>
              <w:top w:val="single" w:sz="24" w:space="0" w:color="548DD4" w:themeColor="text2" w:themeTint="99"/>
              <w:bottom w:val="single" w:sz="24" w:space="0" w:color="548DD4" w:themeColor="text2" w:themeTint="99"/>
            </w:tcBorders>
          </w:tcPr>
          <w:p w14:paraId="408B2324" w14:textId="77777777" w:rsidR="004F2F74" w:rsidRPr="00535947" w:rsidRDefault="004F2F74" w:rsidP="00DC09A9">
            <w:pPr>
              <w:pStyle w:val="Default"/>
              <w:spacing w:before="240" w:after="120"/>
            </w:pPr>
            <w:r w:rsidRPr="00535947">
              <w:t xml:space="preserve">All HCV must meet ULEV standard </w:t>
            </w:r>
          </w:p>
        </w:tc>
        <w:tc>
          <w:tcPr>
            <w:tcW w:w="4111" w:type="dxa"/>
            <w:tcBorders>
              <w:top w:val="single" w:sz="24" w:space="0" w:color="548DD4" w:themeColor="text2" w:themeTint="99"/>
              <w:bottom w:val="single" w:sz="24" w:space="0" w:color="548DD4" w:themeColor="text2" w:themeTint="99"/>
              <w:right w:val="single" w:sz="24" w:space="0" w:color="548DD4" w:themeColor="text2" w:themeTint="99"/>
            </w:tcBorders>
          </w:tcPr>
          <w:p w14:paraId="34CFE941" w14:textId="77777777" w:rsidR="004F2F74" w:rsidRPr="00535947" w:rsidRDefault="004F2F74" w:rsidP="00DC09A9">
            <w:pPr>
              <w:pStyle w:val="Default"/>
              <w:spacing w:before="240" w:after="120"/>
            </w:pPr>
            <w:r w:rsidRPr="00535947">
              <w:t xml:space="preserve">All HCV must meet ULEV standard </w:t>
            </w:r>
          </w:p>
        </w:tc>
      </w:tr>
    </w:tbl>
    <w:p w14:paraId="70215287" w14:textId="6F023BE2" w:rsidR="00D37E82" w:rsidRDefault="0021763D" w:rsidP="00DC09A9">
      <w:pPr>
        <w:pStyle w:val="bParagraphtext"/>
        <w:numPr>
          <w:ilvl w:val="0"/>
          <w:numId w:val="38"/>
        </w:numPr>
        <w:spacing w:before="240"/>
        <w:ind w:left="426" w:hanging="426"/>
      </w:pPr>
      <w:r w:rsidRPr="0021763D">
        <w:lastRenderedPageBreak/>
        <w:t xml:space="preserve">As of </w:t>
      </w:r>
      <w:r>
        <w:t>September 2025</w:t>
      </w:r>
      <w:r w:rsidRPr="0021763D">
        <w:t xml:space="preserve">, 40 out of 107 licensed </w:t>
      </w:r>
      <w:r w:rsidR="00447A6C">
        <w:t>h</w:t>
      </w:r>
      <w:r w:rsidRPr="0021763D">
        <w:t xml:space="preserve">ackney </w:t>
      </w:r>
      <w:r w:rsidR="00447A6C">
        <w:t>c</w:t>
      </w:r>
      <w:r w:rsidRPr="0021763D">
        <w:t xml:space="preserve">arriage </w:t>
      </w:r>
      <w:r w:rsidR="00447A6C">
        <w:t>v</w:t>
      </w:r>
      <w:r w:rsidRPr="0021763D">
        <w:t>ehicles have transitioned to meet the</w:t>
      </w:r>
      <w:r w:rsidR="00447A6C">
        <w:t xml:space="preserve"> </w:t>
      </w:r>
      <w:r w:rsidRPr="0021763D">
        <w:t xml:space="preserve">ULEV standard, along with 3 out of 4 </w:t>
      </w:r>
      <w:r w:rsidR="00447A6C">
        <w:t xml:space="preserve">currently licenced </w:t>
      </w:r>
      <w:r w:rsidRPr="0021763D">
        <w:t xml:space="preserve">temporary vehicles. This means 67 licensed HCVs and 1 temporary vehicle still need to upgrade to meet the ULEV </w:t>
      </w:r>
      <w:r w:rsidR="00D2397E">
        <w:t>standard</w:t>
      </w:r>
      <w:r w:rsidRPr="0021763D">
        <w:t xml:space="preserve"> </w:t>
      </w:r>
      <w:r w:rsidR="00D2397E">
        <w:t xml:space="preserve">from </w:t>
      </w:r>
      <w:r w:rsidRPr="0021763D">
        <w:t xml:space="preserve">the </w:t>
      </w:r>
      <w:proofErr w:type="gramStart"/>
      <w:r w:rsidRPr="0021763D">
        <w:t>1</w:t>
      </w:r>
      <w:r w:rsidRPr="009B1B67">
        <w:rPr>
          <w:vertAlign w:val="superscript"/>
        </w:rPr>
        <w:t>st</w:t>
      </w:r>
      <w:proofErr w:type="gramEnd"/>
      <w:r w:rsidR="009B1B67">
        <w:t xml:space="preserve"> </w:t>
      </w:r>
      <w:r w:rsidRPr="0021763D">
        <w:t>January 2026</w:t>
      </w:r>
      <w:r w:rsidR="00447A6C">
        <w:t>.</w:t>
      </w:r>
      <w:r w:rsidR="00D37E82">
        <w:t xml:space="preserve"> </w:t>
      </w:r>
    </w:p>
    <w:p w14:paraId="1D12250F" w14:textId="21FE4FDF" w:rsidR="00FB78BD" w:rsidRDefault="00FB78BD" w:rsidP="00DC09A9">
      <w:pPr>
        <w:pStyle w:val="Heading1"/>
      </w:pPr>
      <w:r>
        <w:t>General Purposes Licensing Committee – September 2025</w:t>
      </w:r>
    </w:p>
    <w:p w14:paraId="0E055A16" w14:textId="77777777" w:rsidR="00BC09D9" w:rsidRDefault="00BC09D9" w:rsidP="00BC09D9">
      <w:pPr>
        <w:pStyle w:val="bParagraphtext"/>
        <w:numPr>
          <w:ilvl w:val="0"/>
          <w:numId w:val="38"/>
        </w:numPr>
        <w:spacing w:before="240"/>
        <w:ind w:left="426" w:hanging="426"/>
      </w:pPr>
      <w:r w:rsidRPr="00BC09D9">
        <w:t>On 22nd September 2025, a report on this matter was presented to the GPL Committee who asked questions and considered answers from Officers in the Licensing Team. In addition, there were two public addresses to the Committee and these were also considered.</w:t>
      </w:r>
    </w:p>
    <w:p w14:paraId="6F031102" w14:textId="77777777" w:rsidR="00BC09D9" w:rsidRDefault="00BC09D9" w:rsidP="00BC09D9">
      <w:pPr>
        <w:pStyle w:val="bParagraphtext"/>
        <w:numPr>
          <w:ilvl w:val="0"/>
          <w:numId w:val="38"/>
        </w:numPr>
        <w:spacing w:before="240"/>
        <w:ind w:left="426" w:hanging="426"/>
      </w:pPr>
      <w:r w:rsidRPr="00BC09D9">
        <w:t>After considering everything before them the GPL committee agreed a postponement of the final phase until the establishment of a new unitary council under the Local Government Review, aligning the policy with wider structural changes and enabling consistent standards across the new licensing authority.</w:t>
      </w:r>
    </w:p>
    <w:p w14:paraId="2797F247" w14:textId="7E5DC95E" w:rsidR="00E74C5A" w:rsidRDefault="006B6053" w:rsidP="00BC09D9">
      <w:pPr>
        <w:pStyle w:val="bParagraphtext"/>
        <w:numPr>
          <w:ilvl w:val="0"/>
          <w:numId w:val="38"/>
        </w:numPr>
        <w:spacing w:before="240"/>
        <w:ind w:left="426" w:hanging="426"/>
      </w:pPr>
      <w:r>
        <w:t>The full recording of the Committee</w:t>
      </w:r>
      <w:r w:rsidR="00A47A3D">
        <w:t xml:space="preserve"> can be found at </w:t>
      </w:r>
      <w:hyperlink r:id="rId12" w:history="1">
        <w:r w:rsidR="00115D7D">
          <w:rPr>
            <w:rStyle w:val="Hyperlink"/>
          </w:rPr>
          <w:t>https://www.youtube.com/watch?v=l3cHDNrRRWk</w:t>
        </w:r>
      </w:hyperlink>
      <w:r w:rsidR="00A47A3D">
        <w:t xml:space="preserve"> </w:t>
      </w:r>
      <w:r w:rsidR="00E74C5A">
        <w:t>1:17:55</w:t>
      </w:r>
      <w:r w:rsidR="002B4CB8">
        <w:t xml:space="preserve"> – 2:</w:t>
      </w:r>
      <w:r w:rsidR="0039180C">
        <w:t>23:50</w:t>
      </w:r>
    </w:p>
    <w:p w14:paraId="352FB548" w14:textId="413EB0D1" w:rsidR="00633578" w:rsidRPr="002B6836" w:rsidRDefault="001E22F8" w:rsidP="00DC09A9">
      <w:pPr>
        <w:pStyle w:val="Heading1"/>
      </w:pPr>
      <w:r>
        <w:t xml:space="preserve">City of Oxford Licensed Taxicab </w:t>
      </w:r>
      <w:r w:rsidR="001B3C95">
        <w:t>Association</w:t>
      </w:r>
      <w:r>
        <w:t xml:space="preserve"> (COLTA) request</w:t>
      </w:r>
    </w:p>
    <w:p w14:paraId="04853EAF" w14:textId="6E92A3DD" w:rsidR="00A45076" w:rsidRDefault="00F66BCA" w:rsidP="006C027D">
      <w:pPr>
        <w:pStyle w:val="bParagraphtext"/>
        <w:numPr>
          <w:ilvl w:val="0"/>
          <w:numId w:val="38"/>
        </w:numPr>
        <w:tabs>
          <w:tab w:val="clear" w:pos="426"/>
          <w:tab w:val="left" w:pos="567"/>
        </w:tabs>
        <w:spacing w:before="240"/>
        <w:ind w:left="567" w:hanging="567"/>
      </w:pPr>
      <w:r w:rsidRPr="00F66BCA">
        <w:t>On 11th April and 22nd July 2025, the City of Oxford Licensed Taxicab Association (COLTA) formally requested that the Council postpone the final phase of the Hackney Carriage Vehicle (HCV) emission standards</w:t>
      </w:r>
      <w:r>
        <w:t xml:space="preserve">, </w:t>
      </w:r>
      <w:r w:rsidRPr="00F66BCA">
        <w:t>currently set for implementation on 1st January 2026</w:t>
      </w:r>
      <w:r>
        <w:t xml:space="preserve">, </w:t>
      </w:r>
      <w:r w:rsidRPr="00F66BCA">
        <w:t>by an additional two years, extending the deadline to 2028.</w:t>
      </w:r>
      <w:r w:rsidR="009E76AA">
        <w:t xml:space="preserve"> </w:t>
      </w:r>
      <w:r w:rsidR="00A45076">
        <w:t xml:space="preserve">COLTA </w:t>
      </w:r>
      <w:r w:rsidR="007E610F">
        <w:t xml:space="preserve">cited </w:t>
      </w:r>
      <w:r w:rsidR="00001E0A">
        <w:t>the following reasons</w:t>
      </w:r>
      <w:r w:rsidR="00A45076">
        <w:t xml:space="preserve"> in support of their request:</w:t>
      </w:r>
    </w:p>
    <w:p w14:paraId="24F8CD92" w14:textId="15F5748F" w:rsidR="003D2E94" w:rsidRDefault="003D2E94" w:rsidP="00DC09A9">
      <w:pPr>
        <w:pStyle w:val="bParagraphtext"/>
        <w:numPr>
          <w:ilvl w:val="0"/>
          <w:numId w:val="34"/>
        </w:numPr>
        <w:spacing w:before="240"/>
      </w:pPr>
      <w:r>
        <w:t>Financial hardship</w:t>
      </w:r>
      <w:r w:rsidR="001C3B77">
        <w:t>.</w:t>
      </w:r>
    </w:p>
    <w:p w14:paraId="76C6D31B" w14:textId="055B8230" w:rsidR="003D2E94" w:rsidRDefault="003D2E94" w:rsidP="00DC09A9">
      <w:pPr>
        <w:pStyle w:val="bParagraphtext"/>
        <w:numPr>
          <w:ilvl w:val="0"/>
          <w:numId w:val="34"/>
        </w:numPr>
        <w:spacing w:before="240"/>
      </w:pPr>
      <w:r>
        <w:t xml:space="preserve">Impact of </w:t>
      </w:r>
      <w:r w:rsidR="001C3B77">
        <w:t>the evolving private hire trade.</w:t>
      </w:r>
    </w:p>
    <w:p w14:paraId="516BC447" w14:textId="39E937CA" w:rsidR="001C3B77" w:rsidRDefault="001C3B77" w:rsidP="00DC09A9">
      <w:pPr>
        <w:pStyle w:val="bParagraphtext"/>
        <w:numPr>
          <w:ilvl w:val="0"/>
          <w:numId w:val="34"/>
        </w:numPr>
        <w:spacing w:before="240"/>
      </w:pPr>
      <w:r>
        <w:t xml:space="preserve">Uncertainty regarding </w:t>
      </w:r>
      <w:r w:rsidR="00B71248">
        <w:t>hackney carriage quantity control.</w:t>
      </w:r>
    </w:p>
    <w:p w14:paraId="0CFD064F" w14:textId="7D8F0BFD" w:rsidR="00B71248" w:rsidRDefault="00B71248" w:rsidP="00DC09A9">
      <w:pPr>
        <w:pStyle w:val="bParagraphtext"/>
        <w:numPr>
          <w:ilvl w:val="0"/>
          <w:numId w:val="34"/>
        </w:numPr>
        <w:spacing w:before="240"/>
      </w:pPr>
      <w:r>
        <w:t>Local infrastructure challenges</w:t>
      </w:r>
      <w:r w:rsidR="00F33820">
        <w:t>, including road closures and delays to the Zero Emission Zone</w:t>
      </w:r>
      <w:r>
        <w:t>.</w:t>
      </w:r>
    </w:p>
    <w:p w14:paraId="5D6F3E32" w14:textId="7B6C5016" w:rsidR="00B71248" w:rsidRDefault="00B71248" w:rsidP="00DC09A9">
      <w:pPr>
        <w:pStyle w:val="bParagraphtext"/>
        <w:numPr>
          <w:ilvl w:val="0"/>
          <w:numId w:val="34"/>
        </w:numPr>
        <w:spacing w:before="240"/>
      </w:pPr>
      <w:r>
        <w:t>Uncertainty regarding local government reorganisation.</w:t>
      </w:r>
    </w:p>
    <w:p w14:paraId="613C5846" w14:textId="004FC7D5" w:rsidR="00786031" w:rsidRPr="00786031" w:rsidRDefault="00786031" w:rsidP="00DC09A9">
      <w:pPr>
        <w:pStyle w:val="bParagraphtext"/>
        <w:numPr>
          <w:ilvl w:val="0"/>
          <w:numId w:val="0"/>
        </w:numPr>
        <w:spacing w:before="240"/>
        <w:ind w:left="360"/>
      </w:pPr>
      <w:r>
        <w:t xml:space="preserve">A copy of this request can be found at </w:t>
      </w:r>
      <w:r>
        <w:rPr>
          <w:b/>
          <w:bCs/>
        </w:rPr>
        <w:t>Appendix Three.</w:t>
      </w:r>
    </w:p>
    <w:p w14:paraId="485FA2EF" w14:textId="345A009D" w:rsidR="00E87F7A" w:rsidRPr="001356F1" w:rsidRDefault="00F67E17" w:rsidP="00DC09A9">
      <w:pPr>
        <w:pStyle w:val="Heading1"/>
      </w:pPr>
      <w:r w:rsidRPr="00F67E17">
        <w:rPr>
          <w:bCs/>
        </w:rPr>
        <w:t>Affordability and Emissions</w:t>
      </w:r>
    </w:p>
    <w:p w14:paraId="1AC31749" w14:textId="58A2774E" w:rsidR="00A97187" w:rsidRDefault="00A97187" w:rsidP="00DC09A9">
      <w:pPr>
        <w:pStyle w:val="ListParagraph"/>
        <w:numPr>
          <w:ilvl w:val="0"/>
          <w:numId w:val="38"/>
        </w:numPr>
        <w:spacing w:before="240"/>
        <w:ind w:left="426" w:hanging="426"/>
      </w:pPr>
      <w:r>
        <w:t>To support making an informed decision, the Environmental Sustainability Team produced an updated report examining key factors affecting the hackney carriage market. The report explores:</w:t>
      </w:r>
    </w:p>
    <w:p w14:paraId="49610B5C" w14:textId="51EB280D" w:rsidR="00A97187" w:rsidRDefault="00A97187" w:rsidP="00DC09A9">
      <w:pPr>
        <w:pStyle w:val="ListParagraph"/>
        <w:numPr>
          <w:ilvl w:val="0"/>
          <w:numId w:val="41"/>
        </w:numPr>
        <w:spacing w:before="240"/>
      </w:pPr>
      <w:r>
        <w:t xml:space="preserve">The affordability of electric </w:t>
      </w:r>
      <w:r w:rsidR="00C35BA2">
        <w:t>h</w:t>
      </w:r>
      <w:r>
        <w:t xml:space="preserve">ackney </w:t>
      </w:r>
      <w:r w:rsidR="00C35BA2">
        <w:t>c</w:t>
      </w:r>
      <w:r>
        <w:t>arriages, including ownership and running costs</w:t>
      </w:r>
      <w:r w:rsidR="00C35BA2">
        <w:t>.</w:t>
      </w:r>
    </w:p>
    <w:p w14:paraId="2AFD98F9" w14:textId="1535784F" w:rsidR="00A97187" w:rsidRDefault="00A97187" w:rsidP="00DC09A9">
      <w:pPr>
        <w:pStyle w:val="ListParagraph"/>
        <w:numPr>
          <w:ilvl w:val="0"/>
          <w:numId w:val="41"/>
        </w:numPr>
        <w:spacing w:before="240"/>
      </w:pPr>
      <w:r>
        <w:t>The impact of reduced government grants</w:t>
      </w:r>
      <w:r w:rsidR="00C35BA2">
        <w:t xml:space="preserve">, </w:t>
      </w:r>
      <w:r>
        <w:t>rising energy</w:t>
      </w:r>
      <w:r w:rsidR="00C35BA2">
        <w:t>,</w:t>
      </w:r>
      <w:r>
        <w:t xml:space="preserve"> and borrowing costs</w:t>
      </w:r>
      <w:r w:rsidR="00C35BA2">
        <w:t>.</w:t>
      </w:r>
    </w:p>
    <w:p w14:paraId="5DE2460C" w14:textId="582ECB00" w:rsidR="00A97187" w:rsidRDefault="00A97187" w:rsidP="00DC09A9">
      <w:pPr>
        <w:pStyle w:val="ListParagraph"/>
        <w:numPr>
          <w:ilvl w:val="0"/>
          <w:numId w:val="41"/>
        </w:numPr>
        <w:spacing w:before="240"/>
      </w:pPr>
      <w:r>
        <w:lastRenderedPageBreak/>
        <w:t>Comparative cost scenarios between electric and diesel vehicles</w:t>
      </w:r>
      <w:r w:rsidR="00C35BA2">
        <w:t>.</w:t>
      </w:r>
    </w:p>
    <w:p w14:paraId="4CA62009" w14:textId="189B3463" w:rsidR="00A97187" w:rsidRDefault="00A97187" w:rsidP="00DC09A9">
      <w:pPr>
        <w:pStyle w:val="ListParagraph"/>
        <w:numPr>
          <w:ilvl w:val="0"/>
          <w:numId w:val="41"/>
        </w:numPr>
        <w:spacing w:before="240"/>
      </w:pPr>
      <w:r>
        <w:t>Emissions reductions achieved since the introduction of licensing standards</w:t>
      </w:r>
      <w:r w:rsidR="00C35BA2">
        <w:t>.</w:t>
      </w:r>
    </w:p>
    <w:p w14:paraId="5436FE7B" w14:textId="6459DD07" w:rsidR="009924C6" w:rsidRDefault="00A97187" w:rsidP="00DC09A9">
      <w:pPr>
        <w:pStyle w:val="ListParagraph"/>
        <w:numPr>
          <w:ilvl w:val="0"/>
          <w:numId w:val="41"/>
        </w:numPr>
        <w:spacing w:before="240"/>
      </w:pPr>
      <w:r>
        <w:t>Implications of Zero Emission Zone (ZEZ) charges and delays to its expansion</w:t>
      </w:r>
      <w:r w:rsidR="00C35BA2">
        <w:t>.</w:t>
      </w:r>
    </w:p>
    <w:p w14:paraId="04F092A8" w14:textId="7C800EDC" w:rsidR="009924C6" w:rsidRDefault="009924C6" w:rsidP="00C61CD6">
      <w:pPr>
        <w:pStyle w:val="bParagraphtext"/>
        <w:numPr>
          <w:ilvl w:val="0"/>
          <w:numId w:val="0"/>
        </w:numPr>
        <w:spacing w:before="240"/>
        <w:ind w:left="360"/>
      </w:pPr>
      <w:r>
        <w:t xml:space="preserve">A copy of this </w:t>
      </w:r>
      <w:r w:rsidR="00586DD5">
        <w:t>report</w:t>
      </w:r>
      <w:r>
        <w:t xml:space="preserve"> can be found at </w:t>
      </w:r>
      <w:r>
        <w:rPr>
          <w:b/>
          <w:bCs/>
        </w:rPr>
        <w:t xml:space="preserve">Appendix </w:t>
      </w:r>
      <w:r w:rsidR="00586DD5">
        <w:rPr>
          <w:b/>
          <w:bCs/>
        </w:rPr>
        <w:t>Four</w:t>
      </w:r>
      <w:r>
        <w:rPr>
          <w:b/>
          <w:bCs/>
        </w:rPr>
        <w:t>.</w:t>
      </w:r>
    </w:p>
    <w:p w14:paraId="761EBD26" w14:textId="354ECEED" w:rsidR="00B22E72" w:rsidRDefault="005D1CCE" w:rsidP="00B22E72">
      <w:pPr>
        <w:pStyle w:val="Heading1"/>
        <w:rPr>
          <w:rStyle w:val="Firstpagetablebold"/>
          <w:b/>
        </w:rPr>
      </w:pPr>
      <w:r>
        <w:rPr>
          <w:rStyle w:val="Firstpagetablebold"/>
          <w:b/>
        </w:rPr>
        <w:t xml:space="preserve">Oxfordshire </w:t>
      </w:r>
      <w:r w:rsidR="00B22E72">
        <w:rPr>
          <w:rStyle w:val="Firstpagetablebold"/>
          <w:b/>
        </w:rPr>
        <w:t xml:space="preserve">policy </w:t>
      </w:r>
      <w:r>
        <w:rPr>
          <w:rStyle w:val="Firstpagetablebold"/>
          <w:b/>
        </w:rPr>
        <w:t>comparison</w:t>
      </w:r>
    </w:p>
    <w:p w14:paraId="40D1F444" w14:textId="7BDEA74B" w:rsidR="00AE6967" w:rsidRPr="008A3128" w:rsidRDefault="007B1568" w:rsidP="00DC76C3">
      <w:pPr>
        <w:pStyle w:val="ListParagraph"/>
        <w:numPr>
          <w:ilvl w:val="0"/>
          <w:numId w:val="38"/>
        </w:numPr>
        <w:tabs>
          <w:tab w:val="clear" w:pos="426"/>
          <w:tab w:val="left" w:pos="567"/>
        </w:tabs>
        <w:ind w:left="567" w:hanging="567"/>
      </w:pPr>
      <w:r w:rsidRPr="008A3128">
        <w:t>Oxford City</w:t>
      </w:r>
      <w:r w:rsidR="004F3B6C" w:rsidRPr="008A3128">
        <w:t xml:space="preserve"> Council</w:t>
      </w:r>
      <w:r w:rsidRPr="008A3128">
        <w:t xml:space="preserve"> is </w:t>
      </w:r>
      <w:r w:rsidR="00DF3905" w:rsidRPr="008A3128">
        <w:t>leading the way</w:t>
      </w:r>
      <w:r w:rsidR="004F3B6C" w:rsidRPr="008A3128">
        <w:t xml:space="preserve"> for low emission </w:t>
      </w:r>
      <w:r w:rsidR="008A3128" w:rsidRPr="008A3128">
        <w:t xml:space="preserve">hackney carriage </w:t>
      </w:r>
      <w:r w:rsidR="004F3B6C" w:rsidRPr="008A3128">
        <w:t xml:space="preserve">vehicles, with the current </w:t>
      </w:r>
      <w:r w:rsidR="00DF3905" w:rsidRPr="008A3128">
        <w:t xml:space="preserve">requirement of ULEV </w:t>
      </w:r>
      <w:r w:rsidR="008A3128" w:rsidRPr="008A3128">
        <w:t xml:space="preserve">standard </w:t>
      </w:r>
      <w:r w:rsidR="009666FB" w:rsidRPr="008A3128">
        <w:t>from 2026</w:t>
      </w:r>
      <w:r w:rsidR="00DF3905" w:rsidRPr="008A3128">
        <w:t>.</w:t>
      </w:r>
      <w:r w:rsidR="009666FB" w:rsidRPr="008A3128">
        <w:t xml:space="preserve"> </w:t>
      </w:r>
    </w:p>
    <w:p w14:paraId="4E7D6D3D" w14:textId="5CB7F36C" w:rsidR="00AE6967" w:rsidRPr="008A3128" w:rsidRDefault="007B1568" w:rsidP="00DC76C3">
      <w:pPr>
        <w:ind w:left="567"/>
      </w:pPr>
      <w:r w:rsidRPr="008A3128">
        <w:t>South</w:t>
      </w:r>
      <w:r w:rsidR="00AE6967" w:rsidRPr="008A3128">
        <w:t xml:space="preserve"> Oxfordshire District Council</w:t>
      </w:r>
      <w:r w:rsidRPr="008A3128">
        <w:t xml:space="preserve"> &amp; Vale</w:t>
      </w:r>
      <w:r w:rsidR="00AE6967" w:rsidRPr="008A3128">
        <w:t xml:space="preserve"> of White Horse District Council</w:t>
      </w:r>
      <w:r w:rsidRPr="008A3128">
        <w:t xml:space="preserve"> aim for zero-carbon by 2030 but currently only require Euro 6 by 2026. </w:t>
      </w:r>
    </w:p>
    <w:p w14:paraId="43A8E18D" w14:textId="086C58B4" w:rsidR="00AE6967" w:rsidRPr="008A3128" w:rsidRDefault="007B1568" w:rsidP="00DC76C3">
      <w:pPr>
        <w:ind w:left="567"/>
      </w:pPr>
      <w:r w:rsidRPr="008A3128">
        <w:t xml:space="preserve">Cherwell </w:t>
      </w:r>
      <w:r w:rsidR="004F3B6C" w:rsidRPr="008A3128">
        <w:t>District Council</w:t>
      </w:r>
      <w:r w:rsidR="00E02093" w:rsidRPr="008A3128">
        <w:t xml:space="preserve"> </w:t>
      </w:r>
      <w:r w:rsidRPr="008A3128">
        <w:t>sets a later ULEV deadline</w:t>
      </w:r>
      <w:r w:rsidR="00674068">
        <w:t xml:space="preserve"> of</w:t>
      </w:r>
      <w:r w:rsidRPr="008A3128">
        <w:t xml:space="preserve"> 2030 for new</w:t>
      </w:r>
      <w:r w:rsidR="009666FB" w:rsidRPr="008A3128">
        <w:t xml:space="preserve"> applications</w:t>
      </w:r>
      <w:r w:rsidRPr="008A3128">
        <w:t xml:space="preserve">, </w:t>
      </w:r>
      <w:r w:rsidR="00674068">
        <w:t xml:space="preserve">and </w:t>
      </w:r>
      <w:r w:rsidRPr="008A3128">
        <w:t xml:space="preserve">2033 for renewals. </w:t>
      </w:r>
    </w:p>
    <w:p w14:paraId="06BA9990" w14:textId="7AF9C586" w:rsidR="00FD6B7C" w:rsidRPr="00B22E72" w:rsidRDefault="007B1568" w:rsidP="00DC76C3">
      <w:pPr>
        <w:ind w:firstLine="567"/>
      </w:pPr>
      <w:r w:rsidRPr="008A3128">
        <w:t>West Oxfordshire</w:t>
      </w:r>
      <w:r w:rsidR="00E02093" w:rsidRPr="008A3128">
        <w:t xml:space="preserve"> District Council</w:t>
      </w:r>
      <w:r w:rsidRPr="008A3128">
        <w:t xml:space="preserve"> has </w:t>
      </w:r>
      <w:r w:rsidRPr="007B1568">
        <w:t>no formal ULEV requirement at present.</w:t>
      </w:r>
    </w:p>
    <w:p w14:paraId="06959E70" w14:textId="77777777" w:rsidR="00B22E72" w:rsidRPr="009A2D91" w:rsidRDefault="00B22E72" w:rsidP="00B22E72">
      <w:pPr>
        <w:pStyle w:val="Heading1"/>
        <w:rPr>
          <w:rStyle w:val="Firstpagetablebold"/>
          <w:b/>
        </w:rPr>
      </w:pPr>
      <w:r w:rsidRPr="009A2D91">
        <w:rPr>
          <w:rStyle w:val="Firstpagetablebold"/>
          <w:b/>
        </w:rPr>
        <w:t>Local Government Reorganisation</w:t>
      </w:r>
    </w:p>
    <w:p w14:paraId="3443CF9A" w14:textId="77777777" w:rsidR="00C0389D" w:rsidRDefault="002C7C89" w:rsidP="00601A1B">
      <w:pPr>
        <w:pStyle w:val="ListParagraph"/>
        <w:numPr>
          <w:ilvl w:val="0"/>
          <w:numId w:val="38"/>
        </w:numPr>
        <w:tabs>
          <w:tab w:val="clear" w:pos="426"/>
          <w:tab w:val="left" w:pos="567"/>
        </w:tabs>
        <w:ind w:left="567" w:hanging="567"/>
      </w:pPr>
      <w:r w:rsidRPr="002C7C89">
        <w:t>The Local Government Reorganisation (LGR) will reshape Oxfordshire’s council structure, with implementation expected in 2028 following a shadow authority period</w:t>
      </w:r>
      <w:r w:rsidR="00C0389D">
        <w:t>, with t</w:t>
      </w:r>
      <w:r w:rsidRPr="002C7C89">
        <w:t xml:space="preserve">hree unitary models proposed. </w:t>
      </w:r>
    </w:p>
    <w:p w14:paraId="78A011C2" w14:textId="31935D1B" w:rsidR="00913D27" w:rsidRPr="002C7C89" w:rsidRDefault="002C7C89" w:rsidP="00601A1B">
      <w:pPr>
        <w:pStyle w:val="ListParagraph"/>
        <w:numPr>
          <w:ilvl w:val="0"/>
          <w:numId w:val="38"/>
        </w:numPr>
        <w:tabs>
          <w:tab w:val="clear" w:pos="426"/>
          <w:tab w:val="left" w:pos="567"/>
        </w:tabs>
        <w:ind w:left="567" w:hanging="567"/>
        <w:rPr>
          <w:rStyle w:val="Firstpagetablebold"/>
          <w:b w:val="0"/>
        </w:rPr>
      </w:pPr>
      <w:r w:rsidRPr="002C7C89">
        <w:t xml:space="preserve">Based on </w:t>
      </w:r>
      <w:r w:rsidR="00C0389D" w:rsidRPr="002C7C89">
        <w:t xml:space="preserve">March 2025 </w:t>
      </w:r>
      <w:r w:rsidR="00C0389D">
        <w:t>County wide</w:t>
      </w:r>
      <w:r w:rsidRPr="002C7C89">
        <w:t xml:space="preserve"> data, a single Oxfordshire-wide authority would license approximately 1,068 hackney carriages</w:t>
      </w:r>
      <w:r>
        <w:t xml:space="preserve">, </w:t>
      </w:r>
      <w:r w:rsidRPr="002C7C89">
        <w:t xml:space="preserve">an increase of 898% compared to Oxford City alone. A two-unitary model would create one authority with around 332 vehicles (Oxford City, Cherwell, West Oxfordshire), an increase of 210%. A three-unitary model is less precise due to </w:t>
      </w:r>
      <w:r w:rsidR="00C0389D">
        <w:t xml:space="preserve">the </w:t>
      </w:r>
      <w:r w:rsidRPr="002C7C89">
        <w:t xml:space="preserve">boundary </w:t>
      </w:r>
      <w:r w:rsidR="00AC1A17">
        <w:t>proposal</w:t>
      </w:r>
      <w:r w:rsidRPr="002C7C89">
        <w:t xml:space="preserve">, but estimates suggest a Greater Oxford fleet of 300–350 vehicles, an increase of 180–227%. </w:t>
      </w:r>
    </w:p>
    <w:p w14:paraId="76495784" w14:textId="5D9A0433" w:rsidR="00F26E21" w:rsidRDefault="008D22D7" w:rsidP="00DC09A9">
      <w:pPr>
        <w:pStyle w:val="Heading1"/>
        <w:rPr>
          <w:rStyle w:val="Firstpagetablebold"/>
          <w:b/>
        </w:rPr>
      </w:pPr>
      <w:r>
        <w:rPr>
          <w:rStyle w:val="Firstpagetablebold"/>
          <w:b/>
        </w:rPr>
        <w:t>Conclusion</w:t>
      </w:r>
    </w:p>
    <w:p w14:paraId="066560C3" w14:textId="106B4FFB" w:rsidR="006064FB" w:rsidRDefault="00B65D5F" w:rsidP="00DC09A9">
      <w:pPr>
        <w:pStyle w:val="bParagraphtext"/>
        <w:numPr>
          <w:ilvl w:val="0"/>
          <w:numId w:val="38"/>
        </w:numPr>
        <w:tabs>
          <w:tab w:val="clear" w:pos="426"/>
          <w:tab w:val="left" w:pos="567"/>
        </w:tabs>
        <w:spacing w:before="240"/>
        <w:ind w:left="567" w:hanging="567"/>
      </w:pPr>
      <w:r>
        <w:t xml:space="preserve">Cabinet </w:t>
      </w:r>
      <w:r w:rsidR="006064FB">
        <w:t xml:space="preserve">is asked to consider the future implementation of the final phase of the Hackney Carriage Vehicle (HCV) emission standards </w:t>
      </w:r>
      <w:proofErr w:type="gramStart"/>
      <w:r w:rsidR="006064FB">
        <w:t>in light of</w:t>
      </w:r>
      <w:proofErr w:type="gramEnd"/>
      <w:r w:rsidR="006064FB">
        <w:t xml:space="preserve"> several key factors.</w:t>
      </w:r>
    </w:p>
    <w:p w14:paraId="7A3DDAA0" w14:textId="28A651CB" w:rsidR="006064FB" w:rsidRDefault="006064FB" w:rsidP="00DC09A9">
      <w:pPr>
        <w:pStyle w:val="bParagraphtext"/>
        <w:numPr>
          <w:ilvl w:val="0"/>
          <w:numId w:val="38"/>
        </w:numPr>
        <w:tabs>
          <w:tab w:val="clear" w:pos="426"/>
          <w:tab w:val="left" w:pos="567"/>
        </w:tabs>
        <w:spacing w:before="240"/>
        <w:ind w:left="567" w:hanging="567"/>
      </w:pPr>
      <w:r>
        <w:t xml:space="preserve">The City of Oxford Licensed Taxicab Association (COLTA) has formally requested a two-year extension to the current policy deadline, citing financial hardship, market </w:t>
      </w:r>
      <w:r w:rsidR="00C236A3">
        <w:t>change</w:t>
      </w:r>
      <w:r>
        <w:t xml:space="preserve"> from </w:t>
      </w:r>
      <w:r w:rsidR="000820E4">
        <w:t xml:space="preserve">the </w:t>
      </w:r>
      <w:r>
        <w:t xml:space="preserve">private hire </w:t>
      </w:r>
      <w:r w:rsidR="000820E4">
        <w:t>trade</w:t>
      </w:r>
      <w:r>
        <w:t xml:space="preserve">, infrastructure challenges, and uncertainty surrounding future regulation. COLTA emphasises that while many </w:t>
      </w:r>
      <w:r w:rsidR="00C236A3">
        <w:t>vehicle owners</w:t>
      </w:r>
      <w:r>
        <w:t xml:space="preserve"> have already transitioned, further time is needed to ensure a fair and sustainable shift for the remaining fleet.</w:t>
      </w:r>
    </w:p>
    <w:p w14:paraId="31F91866" w14:textId="6A835BB4" w:rsidR="006064FB" w:rsidRDefault="006064FB" w:rsidP="00DC09A9">
      <w:pPr>
        <w:pStyle w:val="bParagraphtext"/>
        <w:numPr>
          <w:ilvl w:val="0"/>
          <w:numId w:val="38"/>
        </w:numPr>
        <w:tabs>
          <w:tab w:val="clear" w:pos="426"/>
          <w:tab w:val="left" w:pos="567"/>
        </w:tabs>
        <w:spacing w:before="240"/>
        <w:ind w:left="567" w:hanging="567"/>
      </w:pPr>
      <w:r>
        <w:t xml:space="preserve">The Environmental Sustainability Team has provided an updated assessment of the hackney carriage market, exploring affordability, emissions reductions, and the impact of government grants and energy costs. Their findings confirm that significant progress has been made in reducing emissions, but also highlight the increasing financial pressures faced by </w:t>
      </w:r>
      <w:r w:rsidR="004B796D">
        <w:t>vehicle owners</w:t>
      </w:r>
      <w:r>
        <w:t>, particularly those without access to home charging.</w:t>
      </w:r>
    </w:p>
    <w:p w14:paraId="3C29C6AA" w14:textId="42438A4A" w:rsidR="006064FB" w:rsidRDefault="006C2A48" w:rsidP="00DC09A9">
      <w:pPr>
        <w:pStyle w:val="bParagraphtext"/>
        <w:numPr>
          <w:ilvl w:val="0"/>
          <w:numId w:val="38"/>
        </w:numPr>
        <w:tabs>
          <w:tab w:val="clear" w:pos="426"/>
          <w:tab w:val="left" w:pos="567"/>
        </w:tabs>
        <w:spacing w:before="240"/>
        <w:ind w:left="567" w:hanging="567"/>
      </w:pPr>
      <w:r w:rsidRPr="006C2A48">
        <w:lastRenderedPageBreak/>
        <w:t xml:space="preserve">The Local Government Reorganisation adds further complexity. Regardless of which unitary model is adopted, there will be a significant increase in the number of vehicles within the new licensing areas that do not currently </w:t>
      </w:r>
      <w:r w:rsidR="00285DBF">
        <w:t xml:space="preserve">and will not </w:t>
      </w:r>
      <w:r w:rsidRPr="006C2A48">
        <w:t xml:space="preserve">meet Oxford City’s ULEV standard. Aligning these standards will be a priority for the shadow authority, and </w:t>
      </w:r>
      <w:r w:rsidR="00285DBF">
        <w:t>any</w:t>
      </w:r>
      <w:r w:rsidR="002868A5">
        <w:t xml:space="preserve"> </w:t>
      </w:r>
      <w:r w:rsidRPr="006C2A48">
        <w:t xml:space="preserve">decision taken now </w:t>
      </w:r>
      <w:r w:rsidR="002868A5">
        <w:t>will</w:t>
      </w:r>
      <w:r w:rsidR="00BA6E65">
        <w:t xml:space="preserve"> have implications for </w:t>
      </w:r>
      <w:r w:rsidR="00285DBF">
        <w:t xml:space="preserve">the </w:t>
      </w:r>
      <w:r w:rsidR="00BA6E65">
        <w:t>future</w:t>
      </w:r>
      <w:r w:rsidR="00285DBF">
        <w:t xml:space="preserve"> </w:t>
      </w:r>
      <w:r w:rsidR="00BA6E65">
        <w:t>policy alignment.</w:t>
      </w:r>
    </w:p>
    <w:p w14:paraId="29B737C8" w14:textId="2544E62E" w:rsidR="006064FB" w:rsidRDefault="0094521F" w:rsidP="00DC09A9">
      <w:pPr>
        <w:pStyle w:val="bParagraphtext"/>
        <w:numPr>
          <w:ilvl w:val="0"/>
          <w:numId w:val="38"/>
        </w:numPr>
        <w:spacing w:before="240"/>
        <w:ind w:left="567" w:hanging="567"/>
      </w:pPr>
      <w:r>
        <w:t xml:space="preserve">Cabinet </w:t>
      </w:r>
      <w:r w:rsidR="006064FB">
        <w:t xml:space="preserve">is invited to consider the </w:t>
      </w:r>
      <w:r w:rsidR="00E64792">
        <w:t>alternative</w:t>
      </w:r>
      <w:r w:rsidR="006064FB">
        <w:t xml:space="preserve"> options:</w:t>
      </w:r>
    </w:p>
    <w:p w14:paraId="74E3CD31" w14:textId="2C379810" w:rsidR="006064FB" w:rsidRPr="009655FF" w:rsidRDefault="006064FB" w:rsidP="00DC09A9">
      <w:pPr>
        <w:pStyle w:val="bParagraphtext"/>
        <w:numPr>
          <w:ilvl w:val="0"/>
          <w:numId w:val="42"/>
        </w:numPr>
        <w:spacing w:before="240"/>
      </w:pPr>
      <w:r w:rsidRPr="009655FF">
        <w:t xml:space="preserve">Maintain the </w:t>
      </w:r>
      <w:r w:rsidR="00490DAA" w:rsidRPr="009655FF">
        <w:t>c</w:t>
      </w:r>
      <w:r w:rsidRPr="009655FF">
        <w:t xml:space="preserve">urrent </w:t>
      </w:r>
      <w:r w:rsidR="00490DAA" w:rsidRPr="009655FF">
        <w:t>p</w:t>
      </w:r>
      <w:r w:rsidRPr="009655FF">
        <w:t>olicy</w:t>
      </w:r>
    </w:p>
    <w:p w14:paraId="6243D353" w14:textId="6A657B60" w:rsidR="006064FB" w:rsidRDefault="006064FB" w:rsidP="00DC09A9">
      <w:pPr>
        <w:pStyle w:val="bParagraphtext"/>
        <w:numPr>
          <w:ilvl w:val="0"/>
          <w:numId w:val="0"/>
        </w:numPr>
        <w:spacing w:before="240"/>
        <w:ind w:left="720"/>
      </w:pPr>
      <w:r>
        <w:t>Retain the existing implementation date of 1st January 2026, requiring all new and renewal HCV applications to meet the Ultra-Low Emissions Vehicle</w:t>
      </w:r>
      <w:r w:rsidR="00E275EB">
        <w:t xml:space="preserve"> </w:t>
      </w:r>
      <w:r>
        <w:t>standard.</w:t>
      </w:r>
    </w:p>
    <w:p w14:paraId="5F0F012D" w14:textId="3240074D" w:rsidR="006064FB" w:rsidRPr="009655FF" w:rsidRDefault="006064FB" w:rsidP="00DC09A9">
      <w:pPr>
        <w:pStyle w:val="bParagraphtext"/>
        <w:numPr>
          <w:ilvl w:val="0"/>
          <w:numId w:val="42"/>
        </w:numPr>
        <w:spacing w:before="240"/>
      </w:pPr>
      <w:r w:rsidRPr="009655FF">
        <w:t xml:space="preserve">Extend the </w:t>
      </w:r>
      <w:r w:rsidR="00490DAA" w:rsidRPr="009655FF">
        <w:t>d</w:t>
      </w:r>
      <w:r w:rsidRPr="009655FF">
        <w:t xml:space="preserve">eadline by </w:t>
      </w:r>
      <w:r w:rsidR="00490DAA" w:rsidRPr="009655FF">
        <w:t>o</w:t>
      </w:r>
      <w:r w:rsidRPr="009655FF">
        <w:t xml:space="preserve">ne </w:t>
      </w:r>
      <w:r w:rsidR="00490DAA" w:rsidRPr="009655FF">
        <w:t>y</w:t>
      </w:r>
      <w:r w:rsidRPr="009655FF">
        <w:t>ear</w:t>
      </w:r>
    </w:p>
    <w:p w14:paraId="5DACF602" w14:textId="77777777" w:rsidR="006064FB" w:rsidRDefault="006064FB" w:rsidP="00DC09A9">
      <w:pPr>
        <w:pStyle w:val="bParagraphtext"/>
        <w:numPr>
          <w:ilvl w:val="0"/>
          <w:numId w:val="0"/>
        </w:numPr>
        <w:spacing w:before="240"/>
        <w:ind w:left="720"/>
      </w:pPr>
      <w:r>
        <w:t>Amend the policy to defer the final phase by 12 months, setting a new implementation date of 1st January 2027, allowing additional time for transition while maintaining momentum towards the Council’s environmental objectives.</w:t>
      </w:r>
    </w:p>
    <w:p w14:paraId="5A7FD9BA" w14:textId="339E9FE7" w:rsidR="007C68E1" w:rsidRDefault="009655FF" w:rsidP="00E64792">
      <w:pPr>
        <w:pStyle w:val="bParagraphtext"/>
        <w:numPr>
          <w:ilvl w:val="0"/>
          <w:numId w:val="42"/>
        </w:numPr>
        <w:spacing w:before="240"/>
      </w:pPr>
      <w:r>
        <w:t>Remove the current hackney carriage emissions standards requirement that all new and renewal HCV applications must meet the Ultra-Low Emissions Vehicle standard by 1st January 2026.</w:t>
      </w:r>
      <w:r w:rsidR="00E64792">
        <w:t xml:space="preserve">  </w:t>
      </w:r>
      <w:r w:rsidR="00496B90">
        <w:t xml:space="preserve">This </w:t>
      </w:r>
      <w:r w:rsidR="00AD4342">
        <w:t xml:space="preserve">matter </w:t>
      </w:r>
      <w:r>
        <w:t>would</w:t>
      </w:r>
      <w:r w:rsidR="00496B90">
        <w:t xml:space="preserve"> </w:t>
      </w:r>
      <w:r w:rsidR="00AD4342">
        <w:t>be consider</w:t>
      </w:r>
      <w:r w:rsidR="00386991">
        <w:t>ed</w:t>
      </w:r>
      <w:r w:rsidR="00AD4342">
        <w:t xml:space="preserve"> by a </w:t>
      </w:r>
      <w:r w:rsidR="006064FB">
        <w:t>new unitary council</w:t>
      </w:r>
      <w:r w:rsidR="00AD4342">
        <w:t xml:space="preserve"> set up under the Local Government Review.</w:t>
      </w:r>
    </w:p>
    <w:p w14:paraId="4AC0B8FE" w14:textId="70A1F558" w:rsidR="00E64792" w:rsidRDefault="00E64792" w:rsidP="00E64792">
      <w:pPr>
        <w:pStyle w:val="bParagraphtext"/>
        <w:numPr>
          <w:ilvl w:val="0"/>
          <w:numId w:val="0"/>
        </w:numPr>
        <w:spacing w:before="240"/>
        <w:ind w:left="720"/>
      </w:pPr>
      <w:r>
        <w:t xml:space="preserve">Officers recommend option </w:t>
      </w:r>
      <w:r w:rsidRPr="00E64792">
        <w:rPr>
          <w:b/>
          <w:bCs/>
        </w:rPr>
        <w:t>C</w:t>
      </w:r>
      <w:r>
        <w:t>.</w:t>
      </w:r>
    </w:p>
    <w:p w14:paraId="11308776" w14:textId="77777777" w:rsidR="0040736F" w:rsidRDefault="002329CF" w:rsidP="00DC09A9">
      <w:pPr>
        <w:pStyle w:val="Heading1"/>
      </w:pPr>
      <w:r w:rsidRPr="002B6836">
        <w:t>Financial implications</w:t>
      </w:r>
    </w:p>
    <w:p w14:paraId="63450047" w14:textId="030699F4" w:rsidR="005640B0" w:rsidRPr="005640B0" w:rsidRDefault="005640B0" w:rsidP="00DC09A9">
      <w:pPr>
        <w:pStyle w:val="ListParagraph"/>
        <w:numPr>
          <w:ilvl w:val="0"/>
          <w:numId w:val="38"/>
        </w:numPr>
        <w:tabs>
          <w:tab w:val="clear" w:pos="426"/>
          <w:tab w:val="left" w:pos="567"/>
        </w:tabs>
        <w:spacing w:before="240"/>
        <w:ind w:left="567" w:hanging="567"/>
      </w:pPr>
      <w:r>
        <w:t xml:space="preserve">The updated financial implications on the hackney carriage trade are outlined in the </w:t>
      </w:r>
      <w:r w:rsidR="00BC4A2C">
        <w:t xml:space="preserve">affordability and emissions report found at </w:t>
      </w:r>
      <w:r w:rsidR="00BC4A2C" w:rsidRPr="00BC4A2C">
        <w:rPr>
          <w:b/>
          <w:bCs/>
        </w:rPr>
        <w:t>Appendix Four.</w:t>
      </w:r>
    </w:p>
    <w:p w14:paraId="06827778" w14:textId="77777777" w:rsidR="0040736F" w:rsidRDefault="00DA614B" w:rsidP="00DC09A9">
      <w:pPr>
        <w:pStyle w:val="Heading1"/>
      </w:pPr>
      <w:r w:rsidRPr="001356F1">
        <w:t>Legal issues</w:t>
      </w:r>
    </w:p>
    <w:p w14:paraId="4264C8EC" w14:textId="53E12922" w:rsidR="006C3F00" w:rsidRPr="006C3F00" w:rsidRDefault="006C3F00" w:rsidP="00DC09A9">
      <w:pPr>
        <w:pStyle w:val="bParagraphtext"/>
        <w:numPr>
          <w:ilvl w:val="0"/>
          <w:numId w:val="38"/>
        </w:numPr>
        <w:tabs>
          <w:tab w:val="clear" w:pos="426"/>
          <w:tab w:val="left" w:pos="567"/>
        </w:tabs>
        <w:spacing w:before="240"/>
        <w:ind w:left="567" w:hanging="567"/>
      </w:pPr>
      <w:r>
        <w:t xml:space="preserve">The </w:t>
      </w:r>
      <w:r w:rsidRPr="00DA6D6B">
        <w:rPr>
          <w:rFonts w:cs="Arial"/>
        </w:rPr>
        <w:t>Local Government (Miscellaneous Provisions) Act 1976 at sections 47</w:t>
      </w:r>
      <w:r>
        <w:rPr>
          <w:rFonts w:cs="Arial"/>
        </w:rPr>
        <w:t>,</w:t>
      </w:r>
      <w:r w:rsidRPr="00DA6D6B">
        <w:rPr>
          <w:rFonts w:cs="Arial"/>
        </w:rPr>
        <w:t xml:space="preserve"> 48 </w:t>
      </w:r>
      <w:r>
        <w:rPr>
          <w:rFonts w:cs="Arial"/>
        </w:rPr>
        <w:t xml:space="preserve">and 51 </w:t>
      </w:r>
      <w:r w:rsidRPr="00DA6D6B">
        <w:rPr>
          <w:rFonts w:cs="Arial"/>
        </w:rPr>
        <w:t xml:space="preserve">allows the </w:t>
      </w:r>
      <w:r>
        <w:rPr>
          <w:rFonts w:cs="Arial"/>
        </w:rPr>
        <w:t>L</w:t>
      </w:r>
      <w:r w:rsidRPr="00DA6D6B">
        <w:rPr>
          <w:rFonts w:cs="Arial"/>
        </w:rPr>
        <w:t xml:space="preserve">icensing </w:t>
      </w:r>
      <w:r>
        <w:rPr>
          <w:rFonts w:cs="Arial"/>
        </w:rPr>
        <w:t>A</w:t>
      </w:r>
      <w:r w:rsidRPr="00DA6D6B">
        <w:rPr>
          <w:rFonts w:cs="Arial"/>
        </w:rPr>
        <w:t>uthority to attach to vehicle</w:t>
      </w:r>
      <w:r>
        <w:rPr>
          <w:rFonts w:cs="Arial"/>
        </w:rPr>
        <w:t xml:space="preserve"> </w:t>
      </w:r>
      <w:r w:rsidRPr="00DA6D6B">
        <w:rPr>
          <w:rFonts w:cs="Arial"/>
        </w:rPr>
        <w:t xml:space="preserve">licences such conditions as it considers </w:t>
      </w:r>
      <w:r>
        <w:rPr>
          <w:rFonts w:cs="Arial"/>
        </w:rPr>
        <w:t>‘</w:t>
      </w:r>
      <w:r w:rsidRPr="00DA6D6B">
        <w:rPr>
          <w:rFonts w:cs="Arial"/>
        </w:rPr>
        <w:t>reasonably necessary</w:t>
      </w:r>
      <w:r>
        <w:rPr>
          <w:rFonts w:cs="Arial"/>
        </w:rPr>
        <w:t>’</w:t>
      </w:r>
      <w:r w:rsidRPr="00DA6D6B">
        <w:rPr>
          <w:rFonts w:cs="Arial"/>
        </w:rPr>
        <w:t xml:space="preserve">. </w:t>
      </w:r>
      <w:r>
        <w:rPr>
          <w:rFonts w:cs="Arial"/>
        </w:rPr>
        <w:t>Improving standards in vehicle safety</w:t>
      </w:r>
      <w:r w:rsidR="00CC0FB9">
        <w:rPr>
          <w:rFonts w:cs="Arial"/>
        </w:rPr>
        <w:t>,</w:t>
      </w:r>
      <w:r>
        <w:rPr>
          <w:rFonts w:cs="Arial"/>
        </w:rPr>
        <w:t xml:space="preserve"> and air quality are relevant factors in this respect.</w:t>
      </w:r>
    </w:p>
    <w:p w14:paraId="2399E607" w14:textId="77777777" w:rsidR="002329CF" w:rsidRPr="001356F1" w:rsidRDefault="002329CF" w:rsidP="00DC09A9">
      <w:pPr>
        <w:pStyle w:val="Heading1"/>
      </w:pPr>
      <w:r w:rsidRPr="001356F1">
        <w:t xml:space="preserve">Equalities impact </w:t>
      </w:r>
    </w:p>
    <w:p w14:paraId="1F7A0BE0" w14:textId="3E88745D" w:rsidR="009F3C3C" w:rsidRDefault="00B3557A" w:rsidP="00DC09A9">
      <w:pPr>
        <w:pStyle w:val="bParagraphtext"/>
        <w:numPr>
          <w:ilvl w:val="0"/>
          <w:numId w:val="38"/>
        </w:numPr>
        <w:tabs>
          <w:tab w:val="clear" w:pos="426"/>
          <w:tab w:val="left" w:pos="567"/>
        </w:tabs>
        <w:spacing w:before="240"/>
        <w:ind w:left="567" w:hanging="567"/>
        <w:rPr>
          <w:bCs/>
        </w:rPr>
      </w:pPr>
      <w:r>
        <w:rPr>
          <w:bCs/>
        </w:rPr>
        <w:t xml:space="preserve">The equality impact assessment </w:t>
      </w:r>
      <w:r w:rsidR="009F3C3C" w:rsidRPr="009F3C3C">
        <w:rPr>
          <w:bCs/>
        </w:rPr>
        <w:t>identifies that the current Hackney Carriage Vehicle (HCV) emissions policy will primarily affect vehicle owners and licence holders. Any extension to the implementation date would provide financial relief to those who have not yet upgraded their vehicles to meet the Ultra-Low Emissions Vehicle (ULEV) standard, currently 67 vehicles. However, such an extension may result in a financial disadvantage for early adopters of ULEV vehicles, currently 40 vehicles, who have already made significant investment in compliance.</w:t>
      </w:r>
    </w:p>
    <w:p w14:paraId="1C3EE284" w14:textId="7AFADA04" w:rsidR="00E206D6" w:rsidRPr="00B3557A" w:rsidRDefault="00F4226C" w:rsidP="00F4226C">
      <w:pPr>
        <w:pStyle w:val="bParagraphtext"/>
        <w:numPr>
          <w:ilvl w:val="0"/>
          <w:numId w:val="0"/>
        </w:numPr>
        <w:tabs>
          <w:tab w:val="clear" w:pos="426"/>
          <w:tab w:val="left" w:pos="567"/>
        </w:tabs>
        <w:spacing w:before="240"/>
        <w:ind w:left="567"/>
        <w:rPr>
          <w:bCs/>
        </w:rPr>
      </w:pPr>
      <w:r>
        <w:rPr>
          <w:bCs/>
        </w:rPr>
        <w:t xml:space="preserve">A copy of the equality impact assessment </w:t>
      </w:r>
      <w:r w:rsidR="00B3557A">
        <w:rPr>
          <w:bCs/>
        </w:rPr>
        <w:t xml:space="preserve">can be found at </w:t>
      </w:r>
      <w:r w:rsidR="00B3557A">
        <w:rPr>
          <w:b/>
        </w:rPr>
        <w:t>Appendix Five.</w:t>
      </w:r>
    </w:p>
    <w:p w14:paraId="3384B174" w14:textId="77777777" w:rsidR="002329CF" w:rsidRPr="001356F1" w:rsidRDefault="002329CF" w:rsidP="00DC09A9">
      <w:pPr>
        <w:spacing w:before="240"/>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0FA94296"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04987E45" w14:textId="77777777" w:rsidR="00E87F7A" w:rsidRPr="001356F1" w:rsidRDefault="00E87F7A" w:rsidP="00A46E98">
            <w:pPr>
              <w:rPr>
                <w:b/>
              </w:rPr>
            </w:pPr>
            <w:r w:rsidRPr="001356F1">
              <w:rPr>
                <w:b/>
              </w:rPr>
              <w:lastRenderedPageBreak/>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6930C959" w14:textId="2E693480" w:rsidR="00E87F7A" w:rsidRPr="001356F1" w:rsidRDefault="00662456" w:rsidP="00A46E98">
            <w:r>
              <w:t>Joshua Curnow</w:t>
            </w:r>
          </w:p>
        </w:tc>
      </w:tr>
      <w:tr w:rsidR="00DF093E" w:rsidRPr="001356F1" w14:paraId="07A5B9C2"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6B6C3381" w14:textId="77777777" w:rsidR="00E87F7A" w:rsidRPr="001356F1" w:rsidRDefault="00E87F7A" w:rsidP="00A46E98">
            <w:r w:rsidRPr="001356F1">
              <w:t>Job title</w:t>
            </w:r>
          </w:p>
        </w:tc>
        <w:tc>
          <w:tcPr>
            <w:tcW w:w="4962" w:type="dxa"/>
            <w:tcBorders>
              <w:top w:val="single" w:sz="8" w:space="0" w:color="000000"/>
              <w:left w:val="nil"/>
              <w:bottom w:val="nil"/>
              <w:right w:val="single" w:sz="8" w:space="0" w:color="000000"/>
            </w:tcBorders>
            <w:shd w:val="clear" w:color="auto" w:fill="auto"/>
          </w:tcPr>
          <w:p w14:paraId="3100D2DA" w14:textId="2E861707" w:rsidR="00E87F7A" w:rsidRPr="001356F1" w:rsidRDefault="00491089" w:rsidP="00A46E98">
            <w:r>
              <w:t>Supervising Senior Licensing Officer</w:t>
            </w:r>
          </w:p>
        </w:tc>
      </w:tr>
      <w:tr w:rsidR="00DF093E" w:rsidRPr="001356F1" w14:paraId="6DEB5543" w14:textId="77777777" w:rsidTr="00A46E98">
        <w:trPr>
          <w:cantSplit/>
          <w:trHeight w:val="396"/>
        </w:trPr>
        <w:tc>
          <w:tcPr>
            <w:tcW w:w="3969" w:type="dxa"/>
            <w:tcBorders>
              <w:top w:val="nil"/>
              <w:left w:val="single" w:sz="8" w:space="0" w:color="000000"/>
              <w:bottom w:val="nil"/>
              <w:right w:val="nil"/>
            </w:tcBorders>
            <w:shd w:val="clear" w:color="auto" w:fill="auto"/>
          </w:tcPr>
          <w:p w14:paraId="7BD402AB"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cBorders>
            <w:shd w:val="clear" w:color="auto" w:fill="auto"/>
          </w:tcPr>
          <w:p w14:paraId="0F7746FF" w14:textId="476FA05F" w:rsidR="00E87F7A" w:rsidRPr="001356F1" w:rsidRDefault="00662456" w:rsidP="00A46E98">
            <w:r>
              <w:t>Community Safety</w:t>
            </w:r>
            <w:r w:rsidR="00FC5F4A">
              <w:t xml:space="preserve"> Service</w:t>
            </w:r>
          </w:p>
        </w:tc>
      </w:tr>
      <w:tr w:rsidR="00DF093E" w:rsidRPr="001356F1" w14:paraId="572FB489" w14:textId="77777777" w:rsidTr="00A46E98">
        <w:trPr>
          <w:cantSplit/>
          <w:trHeight w:val="396"/>
        </w:trPr>
        <w:tc>
          <w:tcPr>
            <w:tcW w:w="3969" w:type="dxa"/>
            <w:tcBorders>
              <w:top w:val="nil"/>
              <w:left w:val="single" w:sz="8" w:space="0" w:color="000000"/>
              <w:bottom w:val="nil"/>
              <w:right w:val="nil"/>
            </w:tcBorders>
            <w:shd w:val="clear" w:color="auto" w:fill="auto"/>
          </w:tcPr>
          <w:p w14:paraId="7832E71E" w14:textId="77777777" w:rsidR="00E87F7A" w:rsidRPr="001356F1" w:rsidRDefault="00E87F7A" w:rsidP="00A46E98">
            <w:r w:rsidRPr="001356F1">
              <w:t xml:space="preserve">Telephone </w:t>
            </w:r>
          </w:p>
        </w:tc>
        <w:tc>
          <w:tcPr>
            <w:tcW w:w="4962" w:type="dxa"/>
            <w:tcBorders>
              <w:top w:val="nil"/>
              <w:left w:val="nil"/>
              <w:bottom w:val="nil"/>
              <w:right w:val="single" w:sz="8" w:space="0" w:color="000000"/>
            </w:tcBorders>
            <w:shd w:val="clear" w:color="auto" w:fill="auto"/>
          </w:tcPr>
          <w:p w14:paraId="53D96CCC" w14:textId="5C5CCC21" w:rsidR="00E87F7A" w:rsidRPr="001356F1" w:rsidRDefault="00E87F7A" w:rsidP="00A46E98">
            <w:r w:rsidRPr="001356F1">
              <w:t xml:space="preserve">01865 </w:t>
            </w:r>
            <w:r w:rsidR="00662456">
              <w:t>252565</w:t>
            </w:r>
          </w:p>
        </w:tc>
      </w:tr>
      <w:tr w:rsidR="005570B5" w:rsidRPr="001356F1" w14:paraId="40AEFD69" w14:textId="77777777" w:rsidTr="00A46E98">
        <w:trPr>
          <w:cantSplit/>
          <w:trHeight w:val="396"/>
        </w:trPr>
        <w:tc>
          <w:tcPr>
            <w:tcW w:w="3969" w:type="dxa"/>
            <w:tcBorders>
              <w:top w:val="nil"/>
              <w:left w:val="single" w:sz="8" w:space="0" w:color="000000"/>
              <w:bottom w:val="single" w:sz="8" w:space="0" w:color="000000"/>
              <w:right w:val="nil"/>
            </w:tcBorders>
            <w:shd w:val="clear" w:color="auto" w:fill="auto"/>
          </w:tcPr>
          <w:p w14:paraId="5C2DD139" w14:textId="77777777" w:rsidR="00E87F7A" w:rsidRPr="001356F1" w:rsidRDefault="00E87F7A" w:rsidP="00A46E98">
            <w:r w:rsidRPr="001356F1">
              <w:t xml:space="preserve">e-mail </w:t>
            </w:r>
          </w:p>
        </w:tc>
        <w:tc>
          <w:tcPr>
            <w:tcW w:w="4962" w:type="dxa"/>
            <w:tcBorders>
              <w:top w:val="nil"/>
              <w:left w:val="nil"/>
              <w:bottom w:val="single" w:sz="8" w:space="0" w:color="000000"/>
              <w:right w:val="single" w:sz="8" w:space="0" w:color="000000"/>
            </w:tcBorders>
            <w:shd w:val="clear" w:color="auto" w:fill="auto"/>
          </w:tcPr>
          <w:p w14:paraId="64C04F4C" w14:textId="7770AB17" w:rsidR="00E87F7A" w:rsidRPr="001356F1" w:rsidRDefault="00662456" w:rsidP="00A46E98">
            <w:pPr>
              <w:rPr>
                <w:rStyle w:val="Hyperlink"/>
                <w:color w:val="000000"/>
              </w:rPr>
            </w:pPr>
            <w:r>
              <w:rPr>
                <w:rStyle w:val="Hyperlink"/>
                <w:color w:val="000000"/>
              </w:rPr>
              <w:t>jcurnow@oxford.gov.uk</w:t>
            </w:r>
          </w:p>
        </w:tc>
      </w:tr>
    </w:tbl>
    <w:p w14:paraId="143C8714" w14:textId="77777777" w:rsidR="00433B96" w:rsidRPr="001356F1" w:rsidRDefault="00433B96" w:rsidP="004A6D2F"/>
    <w:sectPr w:rsidR="00433B96" w:rsidRPr="001356F1" w:rsidSect="002B6836">
      <w:footerReference w:type="even" r:id="rId13"/>
      <w:headerReference w:type="first" r:id="rId14"/>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5DA7C" w14:textId="77777777" w:rsidR="00AA6C71" w:rsidRDefault="00AA6C71" w:rsidP="004A6D2F">
      <w:r>
        <w:separator/>
      </w:r>
    </w:p>
  </w:endnote>
  <w:endnote w:type="continuationSeparator" w:id="0">
    <w:p w14:paraId="6BFC0F27" w14:textId="77777777" w:rsidR="00AA6C71" w:rsidRDefault="00AA6C71"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7B8B" w14:textId="77777777" w:rsidR="00364FAD" w:rsidRDefault="00364FAD" w:rsidP="004A6D2F">
    <w:pPr>
      <w:pStyle w:val="Footer"/>
    </w:pPr>
    <w:r>
      <w:t>Do not use a footer or page numbers.</w:t>
    </w:r>
  </w:p>
  <w:p w14:paraId="20B2461C" w14:textId="77777777" w:rsidR="00364FAD" w:rsidRDefault="00364FAD" w:rsidP="004A6D2F">
    <w:pPr>
      <w:pStyle w:val="Footer"/>
    </w:pPr>
  </w:p>
  <w:p w14:paraId="72386601" w14:textId="77777777" w:rsidR="00364FAD" w:rsidRDefault="00364FAD" w:rsidP="004A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D8F9B" w14:textId="77777777" w:rsidR="00AA6C71" w:rsidRDefault="00AA6C71" w:rsidP="004A6D2F">
      <w:r>
        <w:separator/>
      </w:r>
    </w:p>
  </w:footnote>
  <w:footnote w:type="continuationSeparator" w:id="0">
    <w:p w14:paraId="2E257958" w14:textId="77777777" w:rsidR="00AA6C71" w:rsidRDefault="00AA6C71" w:rsidP="004A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1F7F" w14:textId="77777777" w:rsidR="00D5547E" w:rsidRDefault="00C05260" w:rsidP="00D5547E">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5E6AF2"/>
    <w:multiLevelType w:val="hybridMultilevel"/>
    <w:tmpl w:val="46E29A3E"/>
    <w:lvl w:ilvl="0" w:tplc="5E2672A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2263A6A"/>
    <w:multiLevelType w:val="multilevel"/>
    <w:tmpl w:val="43D6D2FA"/>
    <w:numStyleLink w:val="StyleBulletedSymbolsymbolLeft063cmHanging063cm"/>
  </w:abstractNum>
  <w:abstractNum w:abstractNumId="19"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6E38E9"/>
    <w:multiLevelType w:val="hybridMultilevel"/>
    <w:tmpl w:val="F68C1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D62CC2"/>
    <w:multiLevelType w:val="multilevel"/>
    <w:tmpl w:val="4808D8DA"/>
    <w:lvl w:ilvl="0">
      <w:start w:val="1"/>
      <w:numFmt w:val="bullet"/>
      <w:lvlText w:val=""/>
      <w:lvlJc w:val="left"/>
      <w:pPr>
        <w:ind w:left="720" w:hanging="360"/>
      </w:pPr>
      <w:rPr>
        <w:rFonts w:ascii="Symbol" w:hAnsi="Symbol" w:hint="default"/>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BA5FD8"/>
    <w:multiLevelType w:val="multilevel"/>
    <w:tmpl w:val="43D6D2FA"/>
    <w:numStyleLink w:val="StyleBulletedSymbolsymbolLeft063cmHanging063cm"/>
  </w:abstractNum>
  <w:abstractNum w:abstractNumId="32"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A22831"/>
    <w:multiLevelType w:val="multilevel"/>
    <w:tmpl w:val="43D6D2FA"/>
    <w:numStyleLink w:val="StyleBulletedSymbolsymbolLeft063cmHanging063cm"/>
  </w:abstractNum>
  <w:abstractNum w:abstractNumId="34"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539BA"/>
    <w:multiLevelType w:val="hybridMultilevel"/>
    <w:tmpl w:val="537AE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39B459C"/>
    <w:multiLevelType w:val="multilevel"/>
    <w:tmpl w:val="4808D8DA"/>
    <w:lvl w:ilvl="0">
      <w:start w:val="1"/>
      <w:numFmt w:val="bullet"/>
      <w:lvlText w:val=""/>
      <w:lvlJc w:val="left"/>
      <w:pPr>
        <w:ind w:left="720" w:hanging="360"/>
      </w:pPr>
      <w:rPr>
        <w:rFonts w:ascii="Symbol" w:hAnsi="Symbol" w:hint="default"/>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8365C6"/>
    <w:multiLevelType w:val="multilevel"/>
    <w:tmpl w:val="E67CE66C"/>
    <w:numStyleLink w:val="StyleNumberedLeft0cmHanging075cm"/>
  </w:abstractNum>
  <w:abstractNum w:abstractNumId="40" w15:restartNumberingAfterBreak="0">
    <w:nsid w:val="7BCB6F6D"/>
    <w:multiLevelType w:val="hybridMultilevel"/>
    <w:tmpl w:val="78724C88"/>
    <w:lvl w:ilvl="0" w:tplc="82A8EA18">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C4709F7"/>
    <w:multiLevelType w:val="hybridMultilevel"/>
    <w:tmpl w:val="0A62A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6299310">
    <w:abstractNumId w:val="30"/>
  </w:num>
  <w:num w:numId="2" w16cid:durableId="643705505">
    <w:abstractNumId w:val="35"/>
  </w:num>
  <w:num w:numId="3" w16cid:durableId="1284848424">
    <w:abstractNumId w:val="26"/>
  </w:num>
  <w:num w:numId="4" w16cid:durableId="578908713">
    <w:abstractNumId w:val="19"/>
  </w:num>
  <w:num w:numId="5" w16cid:durableId="54470100">
    <w:abstractNumId w:val="32"/>
  </w:num>
  <w:num w:numId="6" w16cid:durableId="694158268">
    <w:abstractNumId w:val="37"/>
  </w:num>
  <w:num w:numId="7" w16cid:durableId="647516062">
    <w:abstractNumId w:val="25"/>
  </w:num>
  <w:num w:numId="8" w16cid:durableId="1160539719">
    <w:abstractNumId w:val="22"/>
  </w:num>
  <w:num w:numId="9" w16cid:durableId="1862670074">
    <w:abstractNumId w:val="13"/>
  </w:num>
  <w:num w:numId="10" w16cid:durableId="948585193">
    <w:abstractNumId w:val="16"/>
  </w:num>
  <w:num w:numId="11" w16cid:durableId="718482766">
    <w:abstractNumId w:val="29"/>
  </w:num>
  <w:num w:numId="12" w16cid:durableId="164051272">
    <w:abstractNumId w:val="27"/>
  </w:num>
  <w:num w:numId="13" w16cid:durableId="1450854030">
    <w:abstractNumId w:val="10"/>
  </w:num>
  <w:num w:numId="14" w16cid:durableId="373359476">
    <w:abstractNumId w:val="39"/>
  </w:num>
  <w:num w:numId="15" w16cid:durableId="1009412161">
    <w:abstractNumId w:val="17"/>
  </w:num>
  <w:num w:numId="16" w16cid:durableId="2041280933">
    <w:abstractNumId w:val="11"/>
  </w:num>
  <w:num w:numId="17" w16cid:durableId="471220593">
    <w:abstractNumId w:val="31"/>
  </w:num>
  <w:num w:numId="18" w16cid:durableId="1031035851">
    <w:abstractNumId w:val="12"/>
  </w:num>
  <w:num w:numId="19" w16cid:durableId="1402945545">
    <w:abstractNumId w:val="33"/>
  </w:num>
  <w:num w:numId="20" w16cid:durableId="1667248783">
    <w:abstractNumId w:val="18"/>
  </w:num>
  <w:num w:numId="21" w16cid:durableId="1353453069">
    <w:abstractNumId w:val="23"/>
  </w:num>
  <w:num w:numId="22" w16cid:durableId="592667723">
    <w:abstractNumId w:val="14"/>
  </w:num>
  <w:num w:numId="23" w16cid:durableId="37707020">
    <w:abstractNumId w:val="34"/>
  </w:num>
  <w:num w:numId="24" w16cid:durableId="162087179">
    <w:abstractNumId w:val="9"/>
  </w:num>
  <w:num w:numId="25" w16cid:durableId="1955359617">
    <w:abstractNumId w:val="8"/>
  </w:num>
  <w:num w:numId="26" w16cid:durableId="2025740696">
    <w:abstractNumId w:val="7"/>
  </w:num>
  <w:num w:numId="27" w16cid:durableId="439375354">
    <w:abstractNumId w:val="6"/>
  </w:num>
  <w:num w:numId="28" w16cid:durableId="2034837902">
    <w:abstractNumId w:val="5"/>
  </w:num>
  <w:num w:numId="29" w16cid:durableId="765544091">
    <w:abstractNumId w:val="4"/>
  </w:num>
  <w:num w:numId="30" w16cid:durableId="1249462447">
    <w:abstractNumId w:val="3"/>
  </w:num>
  <w:num w:numId="31" w16cid:durableId="790055611">
    <w:abstractNumId w:val="2"/>
  </w:num>
  <w:num w:numId="32" w16cid:durableId="913585048">
    <w:abstractNumId w:val="1"/>
  </w:num>
  <w:num w:numId="33" w16cid:durableId="1728189480">
    <w:abstractNumId w:val="0"/>
  </w:num>
  <w:num w:numId="34" w16cid:durableId="1370304610">
    <w:abstractNumId w:val="36"/>
  </w:num>
  <w:num w:numId="35" w16cid:durableId="1152941978">
    <w:abstractNumId w:val="21"/>
  </w:num>
  <w:num w:numId="36" w16cid:durableId="2006741231">
    <w:abstractNumId w:val="24"/>
  </w:num>
  <w:num w:numId="37" w16cid:durableId="372005171">
    <w:abstractNumId w:val="20"/>
  </w:num>
  <w:num w:numId="38" w16cid:durableId="1081177112">
    <w:abstractNumId w:val="41"/>
  </w:num>
  <w:num w:numId="39" w16cid:durableId="1989942182">
    <w:abstractNumId w:val="39"/>
    <w:lvlOverride w:ilvl="0">
      <w:lvl w:ilvl="0">
        <w:start w:val="1"/>
        <w:numFmt w:val="decimal"/>
        <w:pStyle w:val="ListParagraph"/>
        <w:lvlText w:val="%1."/>
        <w:lvlJc w:val="left"/>
        <w:pPr>
          <w:ind w:left="502" w:hanging="360"/>
        </w:pPr>
        <w:rPr>
          <w:rFonts w:ascii="Arial" w:hAnsi="Arial"/>
          <w:color w:val="000000"/>
          <w:sz w:val="24"/>
        </w:rPr>
      </w:lvl>
    </w:lvlOverride>
  </w:num>
  <w:num w:numId="40" w16cid:durableId="1955748924">
    <w:abstractNumId w:val="15"/>
  </w:num>
  <w:num w:numId="41" w16cid:durableId="1004434520">
    <w:abstractNumId w:val="38"/>
  </w:num>
  <w:num w:numId="42" w16cid:durableId="1949770231">
    <w:abstractNumId w:val="40"/>
  </w:num>
  <w:num w:numId="43" w16cid:durableId="1366057661">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1E0A"/>
    <w:rsid w:val="00002F2A"/>
    <w:rsid w:val="000117D4"/>
    <w:rsid w:val="00025250"/>
    <w:rsid w:val="00030D85"/>
    <w:rsid w:val="000314D7"/>
    <w:rsid w:val="00034054"/>
    <w:rsid w:val="00045347"/>
    <w:rsid w:val="00045F8B"/>
    <w:rsid w:val="00046D2B"/>
    <w:rsid w:val="00056263"/>
    <w:rsid w:val="0005774C"/>
    <w:rsid w:val="00064D8A"/>
    <w:rsid w:val="00064F82"/>
    <w:rsid w:val="00066510"/>
    <w:rsid w:val="00077523"/>
    <w:rsid w:val="000820E4"/>
    <w:rsid w:val="0008394C"/>
    <w:rsid w:val="000B1DFC"/>
    <w:rsid w:val="000B3E6A"/>
    <w:rsid w:val="000B7F05"/>
    <w:rsid w:val="000C089F"/>
    <w:rsid w:val="000C2A38"/>
    <w:rsid w:val="000C3928"/>
    <w:rsid w:val="000C5E8E"/>
    <w:rsid w:val="000F41A7"/>
    <w:rsid w:val="000F4751"/>
    <w:rsid w:val="0010524C"/>
    <w:rsid w:val="00111A32"/>
    <w:rsid w:val="00111FB1"/>
    <w:rsid w:val="00113418"/>
    <w:rsid w:val="00115D7D"/>
    <w:rsid w:val="00133A35"/>
    <w:rsid w:val="001356F1"/>
    <w:rsid w:val="00136994"/>
    <w:rsid w:val="0014128E"/>
    <w:rsid w:val="00151888"/>
    <w:rsid w:val="00154095"/>
    <w:rsid w:val="00157827"/>
    <w:rsid w:val="0016669A"/>
    <w:rsid w:val="0016775D"/>
    <w:rsid w:val="00170A2D"/>
    <w:rsid w:val="001808BC"/>
    <w:rsid w:val="00182B81"/>
    <w:rsid w:val="0018619D"/>
    <w:rsid w:val="00187404"/>
    <w:rsid w:val="00187D87"/>
    <w:rsid w:val="001A011E"/>
    <w:rsid w:val="001A066A"/>
    <w:rsid w:val="001A13E6"/>
    <w:rsid w:val="001A5731"/>
    <w:rsid w:val="001B3C95"/>
    <w:rsid w:val="001B42C3"/>
    <w:rsid w:val="001C30F9"/>
    <w:rsid w:val="001C3B77"/>
    <w:rsid w:val="001C5D5E"/>
    <w:rsid w:val="001D678D"/>
    <w:rsid w:val="001E03F8"/>
    <w:rsid w:val="001E1678"/>
    <w:rsid w:val="001E22F8"/>
    <w:rsid w:val="001E3376"/>
    <w:rsid w:val="001F0E83"/>
    <w:rsid w:val="001F2201"/>
    <w:rsid w:val="00201F60"/>
    <w:rsid w:val="002069B3"/>
    <w:rsid w:val="00213AB5"/>
    <w:rsid w:val="002164F6"/>
    <w:rsid w:val="0021763D"/>
    <w:rsid w:val="002228A1"/>
    <w:rsid w:val="002312EA"/>
    <w:rsid w:val="002329CF"/>
    <w:rsid w:val="00232F5B"/>
    <w:rsid w:val="0024577A"/>
    <w:rsid w:val="00247C29"/>
    <w:rsid w:val="00255387"/>
    <w:rsid w:val="00260467"/>
    <w:rsid w:val="00263EA3"/>
    <w:rsid w:val="00284F85"/>
    <w:rsid w:val="00285DBF"/>
    <w:rsid w:val="002868A5"/>
    <w:rsid w:val="002870C3"/>
    <w:rsid w:val="00290915"/>
    <w:rsid w:val="002A22E2"/>
    <w:rsid w:val="002B1C82"/>
    <w:rsid w:val="002B4CB8"/>
    <w:rsid w:val="002B5B0C"/>
    <w:rsid w:val="002B6836"/>
    <w:rsid w:val="002C4893"/>
    <w:rsid w:val="002C64F7"/>
    <w:rsid w:val="002C7C89"/>
    <w:rsid w:val="002D1230"/>
    <w:rsid w:val="002E28D0"/>
    <w:rsid w:val="002F41F2"/>
    <w:rsid w:val="00301BF3"/>
    <w:rsid w:val="0030208D"/>
    <w:rsid w:val="003034AB"/>
    <w:rsid w:val="00323418"/>
    <w:rsid w:val="003357BF"/>
    <w:rsid w:val="00351EB1"/>
    <w:rsid w:val="00364FAD"/>
    <w:rsid w:val="0036738F"/>
    <w:rsid w:val="0036759C"/>
    <w:rsid w:val="00367AE5"/>
    <w:rsid w:val="00367D71"/>
    <w:rsid w:val="0038150A"/>
    <w:rsid w:val="00382956"/>
    <w:rsid w:val="00386991"/>
    <w:rsid w:val="0039180C"/>
    <w:rsid w:val="00396DBF"/>
    <w:rsid w:val="003B6E75"/>
    <w:rsid w:val="003B7DA1"/>
    <w:rsid w:val="003D0379"/>
    <w:rsid w:val="003D2574"/>
    <w:rsid w:val="003D2E94"/>
    <w:rsid w:val="003D4C59"/>
    <w:rsid w:val="003E63ED"/>
    <w:rsid w:val="003F4267"/>
    <w:rsid w:val="003F5D2B"/>
    <w:rsid w:val="00404032"/>
    <w:rsid w:val="0040736F"/>
    <w:rsid w:val="00412C1F"/>
    <w:rsid w:val="00421CB2"/>
    <w:rsid w:val="004268B9"/>
    <w:rsid w:val="00433B96"/>
    <w:rsid w:val="00442F87"/>
    <w:rsid w:val="004440F1"/>
    <w:rsid w:val="004456DD"/>
    <w:rsid w:val="00446CDF"/>
    <w:rsid w:val="0044790A"/>
    <w:rsid w:val="00447A6C"/>
    <w:rsid w:val="004521B7"/>
    <w:rsid w:val="004548E0"/>
    <w:rsid w:val="00462AB5"/>
    <w:rsid w:val="00462D22"/>
    <w:rsid w:val="00465EAF"/>
    <w:rsid w:val="004738C5"/>
    <w:rsid w:val="0047737B"/>
    <w:rsid w:val="00480155"/>
    <w:rsid w:val="00490DAA"/>
    <w:rsid w:val="00491046"/>
    <w:rsid w:val="00491089"/>
    <w:rsid w:val="00496078"/>
    <w:rsid w:val="00496B90"/>
    <w:rsid w:val="004A2AC7"/>
    <w:rsid w:val="004A6D2F"/>
    <w:rsid w:val="004B11AE"/>
    <w:rsid w:val="004B324A"/>
    <w:rsid w:val="004B796D"/>
    <w:rsid w:val="004C2887"/>
    <w:rsid w:val="004C5752"/>
    <w:rsid w:val="004C5C4A"/>
    <w:rsid w:val="004D2626"/>
    <w:rsid w:val="004D4F9A"/>
    <w:rsid w:val="004D6E26"/>
    <w:rsid w:val="004D77D3"/>
    <w:rsid w:val="004E16C5"/>
    <w:rsid w:val="004E2959"/>
    <w:rsid w:val="004F048C"/>
    <w:rsid w:val="004F20EF"/>
    <w:rsid w:val="004F2F74"/>
    <w:rsid w:val="004F3B6C"/>
    <w:rsid w:val="0050321C"/>
    <w:rsid w:val="00507ECC"/>
    <w:rsid w:val="005119CF"/>
    <w:rsid w:val="00515AB5"/>
    <w:rsid w:val="0053499C"/>
    <w:rsid w:val="00535947"/>
    <w:rsid w:val="0054712D"/>
    <w:rsid w:val="00547EF6"/>
    <w:rsid w:val="005518E6"/>
    <w:rsid w:val="00554562"/>
    <w:rsid w:val="005548FC"/>
    <w:rsid w:val="00555E63"/>
    <w:rsid w:val="005570B5"/>
    <w:rsid w:val="005640B0"/>
    <w:rsid w:val="00566F03"/>
    <w:rsid w:val="00567E18"/>
    <w:rsid w:val="00575F5F"/>
    <w:rsid w:val="00581805"/>
    <w:rsid w:val="00585F76"/>
    <w:rsid w:val="00586DD5"/>
    <w:rsid w:val="005A34E4"/>
    <w:rsid w:val="005A6610"/>
    <w:rsid w:val="005B17F2"/>
    <w:rsid w:val="005B7FB0"/>
    <w:rsid w:val="005C35A5"/>
    <w:rsid w:val="005C577C"/>
    <w:rsid w:val="005D0621"/>
    <w:rsid w:val="005D1CCE"/>
    <w:rsid w:val="005D1E27"/>
    <w:rsid w:val="005D2A3E"/>
    <w:rsid w:val="005D58D3"/>
    <w:rsid w:val="005E022E"/>
    <w:rsid w:val="005E5215"/>
    <w:rsid w:val="005F186A"/>
    <w:rsid w:val="005F7F7E"/>
    <w:rsid w:val="006064FB"/>
    <w:rsid w:val="00614693"/>
    <w:rsid w:val="00623C2F"/>
    <w:rsid w:val="00633578"/>
    <w:rsid w:val="00637068"/>
    <w:rsid w:val="00642CB4"/>
    <w:rsid w:val="006462C7"/>
    <w:rsid w:val="00650811"/>
    <w:rsid w:val="00655339"/>
    <w:rsid w:val="00656D64"/>
    <w:rsid w:val="00661D3E"/>
    <w:rsid w:val="00662456"/>
    <w:rsid w:val="00674068"/>
    <w:rsid w:val="00692627"/>
    <w:rsid w:val="006969E7"/>
    <w:rsid w:val="006A3643"/>
    <w:rsid w:val="006B10C2"/>
    <w:rsid w:val="006B6053"/>
    <w:rsid w:val="006C027D"/>
    <w:rsid w:val="006C2A29"/>
    <w:rsid w:val="006C2A48"/>
    <w:rsid w:val="006C3F00"/>
    <w:rsid w:val="006C64CF"/>
    <w:rsid w:val="006D17B1"/>
    <w:rsid w:val="006D4752"/>
    <w:rsid w:val="006D708A"/>
    <w:rsid w:val="006E14C1"/>
    <w:rsid w:val="006F0292"/>
    <w:rsid w:val="006F26CD"/>
    <w:rsid w:val="006F27FA"/>
    <w:rsid w:val="006F416B"/>
    <w:rsid w:val="006F519B"/>
    <w:rsid w:val="00711026"/>
    <w:rsid w:val="00713675"/>
    <w:rsid w:val="00715104"/>
    <w:rsid w:val="00715823"/>
    <w:rsid w:val="007221E5"/>
    <w:rsid w:val="0072449C"/>
    <w:rsid w:val="007253EF"/>
    <w:rsid w:val="00725573"/>
    <w:rsid w:val="00734C00"/>
    <w:rsid w:val="00737B93"/>
    <w:rsid w:val="00745BF0"/>
    <w:rsid w:val="0075150F"/>
    <w:rsid w:val="00751EA3"/>
    <w:rsid w:val="007615FE"/>
    <w:rsid w:val="0076655C"/>
    <w:rsid w:val="00771571"/>
    <w:rsid w:val="007742DC"/>
    <w:rsid w:val="00776301"/>
    <w:rsid w:val="00786031"/>
    <w:rsid w:val="00791437"/>
    <w:rsid w:val="007A2FE3"/>
    <w:rsid w:val="007A6E5E"/>
    <w:rsid w:val="007B0C2C"/>
    <w:rsid w:val="007B130D"/>
    <w:rsid w:val="007B1568"/>
    <w:rsid w:val="007B278E"/>
    <w:rsid w:val="007B5CA2"/>
    <w:rsid w:val="007C5C23"/>
    <w:rsid w:val="007C68E1"/>
    <w:rsid w:val="007C6F66"/>
    <w:rsid w:val="007E11CD"/>
    <w:rsid w:val="007E2A26"/>
    <w:rsid w:val="007E610F"/>
    <w:rsid w:val="007F1159"/>
    <w:rsid w:val="007F2348"/>
    <w:rsid w:val="007F4757"/>
    <w:rsid w:val="007F5883"/>
    <w:rsid w:val="00803F07"/>
    <w:rsid w:val="0080749A"/>
    <w:rsid w:val="00821FB8"/>
    <w:rsid w:val="00822ACD"/>
    <w:rsid w:val="00841AB8"/>
    <w:rsid w:val="0084679D"/>
    <w:rsid w:val="00855C66"/>
    <w:rsid w:val="00871AFB"/>
    <w:rsid w:val="00871EE4"/>
    <w:rsid w:val="00874B08"/>
    <w:rsid w:val="008954DF"/>
    <w:rsid w:val="00896ABC"/>
    <w:rsid w:val="008A3128"/>
    <w:rsid w:val="008A6DAC"/>
    <w:rsid w:val="008B293F"/>
    <w:rsid w:val="008B3248"/>
    <w:rsid w:val="008B7371"/>
    <w:rsid w:val="008C2746"/>
    <w:rsid w:val="008C347E"/>
    <w:rsid w:val="008C515D"/>
    <w:rsid w:val="008D22D7"/>
    <w:rsid w:val="008D3DDB"/>
    <w:rsid w:val="008E119D"/>
    <w:rsid w:val="008F3B04"/>
    <w:rsid w:val="008F573F"/>
    <w:rsid w:val="009034EC"/>
    <w:rsid w:val="00911422"/>
    <w:rsid w:val="00913D27"/>
    <w:rsid w:val="00924F85"/>
    <w:rsid w:val="0093067A"/>
    <w:rsid w:val="0093147F"/>
    <w:rsid w:val="00935F33"/>
    <w:rsid w:val="0093661C"/>
    <w:rsid w:val="00941C60"/>
    <w:rsid w:val="00941FD1"/>
    <w:rsid w:val="0094521F"/>
    <w:rsid w:val="00950824"/>
    <w:rsid w:val="00960B81"/>
    <w:rsid w:val="009655FF"/>
    <w:rsid w:val="00965ADD"/>
    <w:rsid w:val="009666FB"/>
    <w:rsid w:val="00966D42"/>
    <w:rsid w:val="00971689"/>
    <w:rsid w:val="0097170F"/>
    <w:rsid w:val="00973E90"/>
    <w:rsid w:val="00975B07"/>
    <w:rsid w:val="00980B4A"/>
    <w:rsid w:val="009924C6"/>
    <w:rsid w:val="009934CC"/>
    <w:rsid w:val="009A2D91"/>
    <w:rsid w:val="009B1B67"/>
    <w:rsid w:val="009B3E8A"/>
    <w:rsid w:val="009E1E40"/>
    <w:rsid w:val="009E30E2"/>
    <w:rsid w:val="009E3D0A"/>
    <w:rsid w:val="009E51FC"/>
    <w:rsid w:val="009E76AA"/>
    <w:rsid w:val="009F1D28"/>
    <w:rsid w:val="009F2511"/>
    <w:rsid w:val="009F3C3C"/>
    <w:rsid w:val="009F7618"/>
    <w:rsid w:val="00A04D23"/>
    <w:rsid w:val="00A06569"/>
    <w:rsid w:val="00A06766"/>
    <w:rsid w:val="00A07F34"/>
    <w:rsid w:val="00A13765"/>
    <w:rsid w:val="00A15C75"/>
    <w:rsid w:val="00A21358"/>
    <w:rsid w:val="00A21B12"/>
    <w:rsid w:val="00A23F80"/>
    <w:rsid w:val="00A257B1"/>
    <w:rsid w:val="00A45076"/>
    <w:rsid w:val="00A46E98"/>
    <w:rsid w:val="00A47A3D"/>
    <w:rsid w:val="00A6352B"/>
    <w:rsid w:val="00A701B5"/>
    <w:rsid w:val="00A714BB"/>
    <w:rsid w:val="00A77147"/>
    <w:rsid w:val="00A806E3"/>
    <w:rsid w:val="00A92A46"/>
    <w:rsid w:val="00A92D8F"/>
    <w:rsid w:val="00A97187"/>
    <w:rsid w:val="00AA2177"/>
    <w:rsid w:val="00AA3831"/>
    <w:rsid w:val="00AA6C71"/>
    <w:rsid w:val="00AB2988"/>
    <w:rsid w:val="00AB7999"/>
    <w:rsid w:val="00AC1A17"/>
    <w:rsid w:val="00AC4FA0"/>
    <w:rsid w:val="00AD3292"/>
    <w:rsid w:val="00AD4342"/>
    <w:rsid w:val="00AE1684"/>
    <w:rsid w:val="00AE4B8A"/>
    <w:rsid w:val="00AE6967"/>
    <w:rsid w:val="00AE6B8B"/>
    <w:rsid w:val="00AE7AF0"/>
    <w:rsid w:val="00B01998"/>
    <w:rsid w:val="00B22E72"/>
    <w:rsid w:val="00B263C9"/>
    <w:rsid w:val="00B3557A"/>
    <w:rsid w:val="00B37348"/>
    <w:rsid w:val="00B42D81"/>
    <w:rsid w:val="00B500CA"/>
    <w:rsid w:val="00B57382"/>
    <w:rsid w:val="00B65D5F"/>
    <w:rsid w:val="00B71248"/>
    <w:rsid w:val="00B86314"/>
    <w:rsid w:val="00B87B46"/>
    <w:rsid w:val="00BA1C2E"/>
    <w:rsid w:val="00BA6E65"/>
    <w:rsid w:val="00BC09D9"/>
    <w:rsid w:val="00BC200B"/>
    <w:rsid w:val="00BC216F"/>
    <w:rsid w:val="00BC4756"/>
    <w:rsid w:val="00BC4A2C"/>
    <w:rsid w:val="00BC69A4"/>
    <w:rsid w:val="00BD0140"/>
    <w:rsid w:val="00BD1461"/>
    <w:rsid w:val="00BD217C"/>
    <w:rsid w:val="00BD6181"/>
    <w:rsid w:val="00BE0680"/>
    <w:rsid w:val="00BE305F"/>
    <w:rsid w:val="00BE7BA3"/>
    <w:rsid w:val="00BF21ED"/>
    <w:rsid w:val="00BF5682"/>
    <w:rsid w:val="00BF7B09"/>
    <w:rsid w:val="00C0389D"/>
    <w:rsid w:val="00C05260"/>
    <w:rsid w:val="00C058E4"/>
    <w:rsid w:val="00C076B9"/>
    <w:rsid w:val="00C10C24"/>
    <w:rsid w:val="00C20A95"/>
    <w:rsid w:val="00C236A3"/>
    <w:rsid w:val="00C2692F"/>
    <w:rsid w:val="00C3207C"/>
    <w:rsid w:val="00C35BA2"/>
    <w:rsid w:val="00C37FC1"/>
    <w:rsid w:val="00C400E1"/>
    <w:rsid w:val="00C41187"/>
    <w:rsid w:val="00C61CD6"/>
    <w:rsid w:val="00C63C31"/>
    <w:rsid w:val="00C6582A"/>
    <w:rsid w:val="00C757A0"/>
    <w:rsid w:val="00C760DE"/>
    <w:rsid w:val="00C82630"/>
    <w:rsid w:val="00C849B7"/>
    <w:rsid w:val="00C85B4E"/>
    <w:rsid w:val="00C907F7"/>
    <w:rsid w:val="00C94441"/>
    <w:rsid w:val="00CA2103"/>
    <w:rsid w:val="00CA34D9"/>
    <w:rsid w:val="00CA490D"/>
    <w:rsid w:val="00CB16D5"/>
    <w:rsid w:val="00CB21E8"/>
    <w:rsid w:val="00CB6B99"/>
    <w:rsid w:val="00CC03A4"/>
    <w:rsid w:val="00CC0FB9"/>
    <w:rsid w:val="00CE4C87"/>
    <w:rsid w:val="00CE544A"/>
    <w:rsid w:val="00CE5F2F"/>
    <w:rsid w:val="00CE6CF1"/>
    <w:rsid w:val="00D11E1C"/>
    <w:rsid w:val="00D160B0"/>
    <w:rsid w:val="00D17F94"/>
    <w:rsid w:val="00D223FC"/>
    <w:rsid w:val="00D2397E"/>
    <w:rsid w:val="00D26D1E"/>
    <w:rsid w:val="00D31B1D"/>
    <w:rsid w:val="00D34804"/>
    <w:rsid w:val="00D37E82"/>
    <w:rsid w:val="00D474CF"/>
    <w:rsid w:val="00D535C3"/>
    <w:rsid w:val="00D5547E"/>
    <w:rsid w:val="00D75488"/>
    <w:rsid w:val="00D80333"/>
    <w:rsid w:val="00D83CBD"/>
    <w:rsid w:val="00D860E2"/>
    <w:rsid w:val="00D869A1"/>
    <w:rsid w:val="00D90D56"/>
    <w:rsid w:val="00DA413F"/>
    <w:rsid w:val="00DA4584"/>
    <w:rsid w:val="00DA614B"/>
    <w:rsid w:val="00DB14C6"/>
    <w:rsid w:val="00DB54C3"/>
    <w:rsid w:val="00DB6CA4"/>
    <w:rsid w:val="00DB7AD7"/>
    <w:rsid w:val="00DC09A9"/>
    <w:rsid w:val="00DC3060"/>
    <w:rsid w:val="00DC76C3"/>
    <w:rsid w:val="00DD7C8F"/>
    <w:rsid w:val="00DE0FB2"/>
    <w:rsid w:val="00DF093E"/>
    <w:rsid w:val="00DF3905"/>
    <w:rsid w:val="00E01482"/>
    <w:rsid w:val="00E01F42"/>
    <w:rsid w:val="00E02093"/>
    <w:rsid w:val="00E206D6"/>
    <w:rsid w:val="00E275EB"/>
    <w:rsid w:val="00E3366E"/>
    <w:rsid w:val="00E447DF"/>
    <w:rsid w:val="00E52086"/>
    <w:rsid w:val="00E543A6"/>
    <w:rsid w:val="00E60479"/>
    <w:rsid w:val="00E61D73"/>
    <w:rsid w:val="00E64792"/>
    <w:rsid w:val="00E73684"/>
    <w:rsid w:val="00E74C5A"/>
    <w:rsid w:val="00E77446"/>
    <w:rsid w:val="00E818D6"/>
    <w:rsid w:val="00E87F7A"/>
    <w:rsid w:val="00E91AE5"/>
    <w:rsid w:val="00E94B3E"/>
    <w:rsid w:val="00E95443"/>
    <w:rsid w:val="00E96BD7"/>
    <w:rsid w:val="00E976E7"/>
    <w:rsid w:val="00EA0DB1"/>
    <w:rsid w:val="00EA0EE9"/>
    <w:rsid w:val="00EA3F84"/>
    <w:rsid w:val="00ED1A57"/>
    <w:rsid w:val="00ED52CA"/>
    <w:rsid w:val="00ED5860"/>
    <w:rsid w:val="00EE1692"/>
    <w:rsid w:val="00EE35C9"/>
    <w:rsid w:val="00EE7A84"/>
    <w:rsid w:val="00EE7D09"/>
    <w:rsid w:val="00F0086C"/>
    <w:rsid w:val="00F057C3"/>
    <w:rsid w:val="00F05ECA"/>
    <w:rsid w:val="00F0612E"/>
    <w:rsid w:val="00F074A2"/>
    <w:rsid w:val="00F26E21"/>
    <w:rsid w:val="00F33820"/>
    <w:rsid w:val="00F3566E"/>
    <w:rsid w:val="00F375FB"/>
    <w:rsid w:val="00F41AC1"/>
    <w:rsid w:val="00F4226C"/>
    <w:rsid w:val="00F4367A"/>
    <w:rsid w:val="00F445B1"/>
    <w:rsid w:val="00F45CD4"/>
    <w:rsid w:val="00F60251"/>
    <w:rsid w:val="00F660F1"/>
    <w:rsid w:val="00F66BCA"/>
    <w:rsid w:val="00F66DCA"/>
    <w:rsid w:val="00F67E17"/>
    <w:rsid w:val="00F74F53"/>
    <w:rsid w:val="00F7606D"/>
    <w:rsid w:val="00F81670"/>
    <w:rsid w:val="00F82024"/>
    <w:rsid w:val="00F854DC"/>
    <w:rsid w:val="00F856ED"/>
    <w:rsid w:val="00F865A3"/>
    <w:rsid w:val="00F95BC9"/>
    <w:rsid w:val="00F961DF"/>
    <w:rsid w:val="00FA624C"/>
    <w:rsid w:val="00FB3B71"/>
    <w:rsid w:val="00FB78BD"/>
    <w:rsid w:val="00FC5F4A"/>
    <w:rsid w:val="00FC6CF7"/>
    <w:rsid w:val="00FD0FAC"/>
    <w:rsid w:val="00FD1DFA"/>
    <w:rsid w:val="00FD4966"/>
    <w:rsid w:val="00FD6B7C"/>
    <w:rsid w:val="00FE57DC"/>
    <w:rsid w:val="00FE5A80"/>
    <w:rsid w:val="00FF095A"/>
    <w:rsid w:val="00FF381C"/>
    <w:rsid w:val="05B94C3D"/>
    <w:rsid w:val="07D434D5"/>
    <w:rsid w:val="0AEAD29A"/>
    <w:rsid w:val="0B89A7FD"/>
    <w:rsid w:val="0E137018"/>
    <w:rsid w:val="0ECD8498"/>
    <w:rsid w:val="0FB9297F"/>
    <w:rsid w:val="11DE2519"/>
    <w:rsid w:val="150E6135"/>
    <w:rsid w:val="16C788FA"/>
    <w:rsid w:val="187CEEE6"/>
    <w:rsid w:val="18B12936"/>
    <w:rsid w:val="1BC0B843"/>
    <w:rsid w:val="1BDE6ACD"/>
    <w:rsid w:val="1C62DB68"/>
    <w:rsid w:val="1E2AA5CE"/>
    <w:rsid w:val="22F0553C"/>
    <w:rsid w:val="238A6E87"/>
    <w:rsid w:val="24AA93AA"/>
    <w:rsid w:val="25C8DF4C"/>
    <w:rsid w:val="27395084"/>
    <w:rsid w:val="278ACBEA"/>
    <w:rsid w:val="282C914F"/>
    <w:rsid w:val="2875A525"/>
    <w:rsid w:val="29894939"/>
    <w:rsid w:val="2DC2B855"/>
    <w:rsid w:val="3323D874"/>
    <w:rsid w:val="33C8C2FF"/>
    <w:rsid w:val="34C5ADE6"/>
    <w:rsid w:val="34ECE2A5"/>
    <w:rsid w:val="35E68B5F"/>
    <w:rsid w:val="3742E73C"/>
    <w:rsid w:val="38C4BD77"/>
    <w:rsid w:val="3A028991"/>
    <w:rsid w:val="3A1580BC"/>
    <w:rsid w:val="3BB43EC8"/>
    <w:rsid w:val="3C9559B9"/>
    <w:rsid w:val="3D75EE1D"/>
    <w:rsid w:val="4165F553"/>
    <w:rsid w:val="431C3BF6"/>
    <w:rsid w:val="43F42839"/>
    <w:rsid w:val="47265693"/>
    <w:rsid w:val="4DC9FD09"/>
    <w:rsid w:val="4DF06A9C"/>
    <w:rsid w:val="51049B70"/>
    <w:rsid w:val="52141FE7"/>
    <w:rsid w:val="530E7F80"/>
    <w:rsid w:val="53124442"/>
    <w:rsid w:val="54BD7E5A"/>
    <w:rsid w:val="562DCFA1"/>
    <w:rsid w:val="571C62E4"/>
    <w:rsid w:val="58C16BAB"/>
    <w:rsid w:val="5C2301F2"/>
    <w:rsid w:val="5CD2A867"/>
    <w:rsid w:val="5D0EC0A9"/>
    <w:rsid w:val="5D6EE46E"/>
    <w:rsid w:val="5DE62121"/>
    <w:rsid w:val="60B35EF8"/>
    <w:rsid w:val="613D2893"/>
    <w:rsid w:val="62B73EE3"/>
    <w:rsid w:val="636BDC7A"/>
    <w:rsid w:val="6BFBC2A1"/>
    <w:rsid w:val="6ECA3545"/>
    <w:rsid w:val="70F8304B"/>
    <w:rsid w:val="7276546A"/>
    <w:rsid w:val="75E01BB2"/>
    <w:rsid w:val="76D8CABF"/>
    <w:rsid w:val="7F3A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3"/>
      </w:numPr>
    </w:pPr>
  </w:style>
  <w:style w:type="paragraph" w:customStyle="1" w:styleId="Bulletpoints">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3"/>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4F2F74"/>
    <w:pPr>
      <w:autoSpaceDE w:val="0"/>
      <w:autoSpaceDN w:val="0"/>
      <w:adjustRightInd w:val="0"/>
    </w:pPr>
    <w:rPr>
      <w:rFonts w:cs="Arial"/>
      <w:color w:val="000000"/>
      <w:sz w:val="24"/>
      <w:szCs w:val="24"/>
    </w:rPr>
  </w:style>
  <w:style w:type="table" w:styleId="GridTable4-Accent1">
    <w:name w:val="Grid Table 4 Accent 1"/>
    <w:basedOn w:val="TableNormal"/>
    <w:uiPriority w:val="49"/>
    <w:rsid w:val="00913D2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A47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l3cHDNrRRW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mgIssueHistoryHome.aspx?IId=41339&amp;PlanId=557&amp;RPID=545412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97fed01b237f810e4e10a2ee5100817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bdf30ed51e910aa0da12d8823c257f65"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EB771-6978-41C4-B07A-9C044E28D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B699F-BFB2-481D-8AF7-9A9A6B3CCE34}">
  <ds:schemaRefs>
    <ds:schemaRef ds:uri="http://schemas.microsoft.com/sharepoint/v3/contenttype/forms"/>
  </ds:schemaRefs>
</ds:datastoreItem>
</file>

<file path=customXml/itemProps3.xml><?xml version="1.0" encoding="utf-8"?>
<ds:datastoreItem xmlns:ds="http://schemas.openxmlformats.org/officeDocument/2006/customXml" ds:itemID="{1AA8F04B-4456-41BD-A197-2324D78A0B5E}">
  <ds:schemaRefs>
    <ds:schemaRef ds:uri="http://schemas.microsoft.com/office/2006/metadata/properties"/>
    <ds:schemaRef ds:uri="http://schemas.microsoft.com/office/infopath/2007/PartnerControls"/>
    <ds:schemaRef ds:uri="d4392214-0967-4937-8fbd-ce6841dd334a"/>
    <ds:schemaRef ds:uri="fdeaa98c-3c10-467a-a9c8-b2f3006f2a29"/>
    <ds:schemaRef ds:uri="767482ae-7241-49c3-8a4f-7ce08acf9f0e"/>
    <ds:schemaRef ds:uri="3786fa0e-627d-4c8f-81d4-9acfec184fed"/>
  </ds:schemaRefs>
</ds:datastoreItem>
</file>

<file path=customXml/itemProps4.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REYESLAO Celeste</cp:lastModifiedBy>
  <cp:revision>2</cp:revision>
  <cp:lastPrinted>2015-07-03T13:50:00Z</cp:lastPrinted>
  <dcterms:created xsi:type="dcterms:W3CDTF">2025-11-03T10:05:00Z</dcterms:created>
  <dcterms:modified xsi:type="dcterms:W3CDTF">2025-11-03T10:05:00Z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